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#126</w:t>
      </w:r>
      <w:r>
        <w:rPr>
          <w:bCs/>
          <w:sz w:val="24"/>
          <w:szCs w:val="24"/>
        </w:rPr>
        <w:tab/>
      </w:r>
      <w:r>
        <w:rPr>
          <w:rFonts w:hint="eastAsia"/>
          <w:bCs/>
          <w:sz w:val="24"/>
          <w:szCs w:val="24"/>
        </w:rPr>
        <w:t>R</w:t>
      </w:r>
      <w:r>
        <w:rPr>
          <w:bCs/>
          <w:sz w:val="24"/>
          <w:szCs w:val="24"/>
        </w:rPr>
        <w:t>3</w:t>
      </w:r>
      <w:r>
        <w:rPr>
          <w:rFonts w:hint="eastAsia"/>
          <w:bCs/>
          <w:sz w:val="24"/>
          <w:szCs w:val="24"/>
        </w:rPr>
        <w:t>-247656</w:t>
      </w:r>
    </w:p>
    <w:p>
      <w:pPr>
        <w:pStyle w:val="26"/>
        <w:tabs>
          <w:tab w:val="right" w:pos="9639"/>
        </w:tabs>
        <w:rPr>
          <w:bCs/>
          <w:sz w:val="24"/>
          <w:szCs w:val="24"/>
          <w:lang w:val="en-US"/>
        </w:rPr>
      </w:pPr>
      <w:r>
        <w:rPr>
          <w:sz w:val="24"/>
          <w:lang w:eastAsia="zh-CN"/>
        </w:rPr>
        <w:t>Orlando</w:t>
      </w:r>
      <w:r>
        <w:rPr>
          <w:sz w:val="24"/>
        </w:rPr>
        <w:t xml:space="preserve">, USA, </w:t>
      </w:r>
      <w:r>
        <w:rPr>
          <w:b w:val="0"/>
          <w:sz w:val="24"/>
        </w:rPr>
        <w:fldChar w:fldCharType="begin"/>
      </w:r>
      <w:r>
        <w:rPr>
          <w:sz w:val="24"/>
        </w:rPr>
        <w:instrText xml:space="preserve"> DOCPROPERTY  StartDate  \* MERGEFORMAT </w:instrText>
      </w:r>
      <w:r>
        <w:rPr>
          <w:b w:val="0"/>
          <w:sz w:val="24"/>
        </w:rPr>
        <w:fldChar w:fldCharType="separate"/>
      </w:r>
      <w:r>
        <w:rPr>
          <w:sz w:val="24"/>
        </w:rPr>
        <w:t xml:space="preserve"> 18 – 22 November</w:t>
      </w:r>
      <w:r>
        <w:rPr>
          <w:b w:val="0"/>
          <w:sz w:val="24"/>
        </w:rPr>
        <w:fldChar w:fldCharType="end"/>
      </w:r>
      <w:r>
        <w:rPr>
          <w:rFonts w:cs="Arial"/>
          <w:sz w:val="24"/>
          <w:szCs w:val="24"/>
          <w:lang w:val="en-US"/>
        </w:rPr>
        <w:t>, 2024</w:t>
      </w:r>
    </w:p>
    <w:p>
      <w:pPr>
        <w:pStyle w:val="26"/>
        <w:rPr>
          <w:bCs/>
          <w:sz w:val="24"/>
          <w:lang w:val="en-US"/>
        </w:rPr>
      </w:pPr>
    </w:p>
    <w:p>
      <w:pPr>
        <w:pStyle w:val="26"/>
        <w:rPr>
          <w:bCs/>
          <w:sz w:val="24"/>
          <w:lang w:val="en-US"/>
        </w:rPr>
      </w:pPr>
    </w:p>
    <w:p>
      <w:pPr>
        <w:pStyle w:val="70"/>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9.2</w:t>
      </w:r>
    </w:p>
    <w:p>
      <w:pPr>
        <w:tabs>
          <w:tab w:val="left" w:pos="1985"/>
        </w:tabs>
        <w:ind w:left="1985" w:hanging="1985"/>
        <w:rPr>
          <w:rFonts w:hint="default" w:ascii="Arial" w:hAnsi="Arial" w:eastAsia="宋体" w:cs="Arial"/>
          <w:b/>
          <w:bCs/>
          <w:sz w:val="24"/>
          <w:highlight w:val="none"/>
          <w:lang w:val="en-US" w:eastAsia="zh-CN"/>
        </w:rPr>
      </w:pPr>
      <w:r>
        <w:rPr>
          <w:rFonts w:ascii="Arial" w:hAnsi="Arial" w:cs="Arial"/>
          <w:b/>
          <w:bCs/>
          <w:sz w:val="24"/>
          <w:highlight w:val="none"/>
        </w:rPr>
        <w:t>Source:</w:t>
      </w:r>
      <w:r>
        <w:rPr>
          <w:rFonts w:ascii="Arial" w:hAnsi="Arial" w:cs="Arial"/>
          <w:b/>
          <w:bCs/>
          <w:sz w:val="24"/>
          <w:highlight w:val="none"/>
        </w:rPr>
        <w:tab/>
      </w:r>
      <w:r>
        <w:rPr>
          <w:rFonts w:hint="eastAsia" w:ascii="Arial" w:hAnsi="Arial" w:eastAsia="宋体" w:cs="Arial"/>
          <w:b/>
          <w:bCs/>
          <w:sz w:val="24"/>
          <w:highlight w:val="none"/>
          <w:lang w:val="en-US" w:eastAsia="zh-CN"/>
        </w:rPr>
        <w:t>ZTE Corporation,</w:t>
      </w:r>
      <w:r>
        <w:rPr>
          <w:rFonts w:hint="default" w:ascii="Arial" w:hAnsi="Arial" w:eastAsia="宋体" w:cs="Arial"/>
          <w:b/>
          <w:bCs/>
          <w:sz w:val="24"/>
          <w:highlight w:val="none"/>
          <w:lang w:val="en-US" w:eastAsia="zh-CN"/>
        </w:rPr>
        <w:t xml:space="preserve"> </w:t>
      </w:r>
      <w:r>
        <w:rPr>
          <w:rFonts w:hint="eastAsia" w:ascii="Arial" w:hAnsi="Arial" w:eastAsia="宋体" w:cs="Arial"/>
          <w:b/>
          <w:bCs/>
          <w:sz w:val="24"/>
          <w:highlight w:val="none"/>
          <w:lang w:val="en-US" w:eastAsia="zh-CN"/>
        </w:rPr>
        <w:t>Samsung, Nokia, China Unicom</w:t>
      </w:r>
      <w:r>
        <w:rPr>
          <w:rFonts w:hint="default" w:ascii="Arial" w:hAnsi="Arial" w:eastAsia="宋体" w:cs="Arial"/>
          <w:b/>
          <w:bCs/>
          <w:sz w:val="24"/>
          <w:highlight w:val="none"/>
          <w:lang w:val="en-US" w:eastAsia="zh-CN"/>
        </w:rPr>
        <w:t>, China Telecom</w:t>
      </w:r>
    </w:p>
    <w:p>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hint="eastAsia" w:ascii="Arial" w:hAnsi="Arial" w:eastAsia="宋体" w:cs="Arial"/>
          <w:b/>
          <w:bCs/>
          <w:sz w:val="24"/>
          <w:lang w:val="en-US" w:eastAsia="zh-CN"/>
        </w:rPr>
        <w:t xml:space="preserve">Discussion on </w:t>
      </w:r>
      <w:r>
        <w:rPr>
          <w:rFonts w:ascii="Arial" w:hAnsi="Arial" w:cs="Arial"/>
          <w:b/>
          <w:bCs/>
          <w:sz w:val="24"/>
        </w:rPr>
        <w:t>NR-DC QMC Coordination for RRC Segmentation</w:t>
      </w:r>
    </w:p>
    <w:p>
      <w:pPr>
        <w:tabs>
          <w:tab w:val="left" w:pos="1985"/>
        </w:tabs>
        <w:rPr>
          <w:rFonts w:hint="default" w:ascii="Arial" w:hAnsi="Arial" w:cs="Arial"/>
          <w:b/>
          <w:bCs/>
          <w:sz w:val="24"/>
          <w:lang w:val="en-US"/>
        </w:rPr>
      </w:pPr>
      <w:r>
        <w:rPr>
          <w:rFonts w:ascii="Arial" w:hAnsi="Arial" w:cs="Arial"/>
          <w:b/>
          <w:bCs/>
          <w:sz w:val="24"/>
        </w:rPr>
        <w:t>Document for:</w:t>
      </w:r>
      <w:r>
        <w:rPr>
          <w:rFonts w:ascii="Arial" w:hAnsi="Arial" w:cs="Arial"/>
          <w:b/>
          <w:bCs/>
          <w:sz w:val="24"/>
        </w:rPr>
        <w:tab/>
      </w:r>
      <w:r>
        <w:rPr>
          <w:rFonts w:ascii="Arial" w:hAnsi="Arial" w:cs="Arial"/>
          <w:b/>
          <w:bCs/>
          <w:sz w:val="24"/>
        </w:rPr>
        <w:t xml:space="preserve">Discussion and </w:t>
      </w:r>
      <w:r>
        <w:rPr>
          <w:rFonts w:hint="default" w:ascii="Arial" w:hAnsi="Arial" w:cs="Arial"/>
          <w:b/>
          <w:bCs/>
          <w:sz w:val="24"/>
          <w:lang w:val="en-US"/>
        </w:rPr>
        <w:t>Approval</w:t>
      </w:r>
    </w:p>
    <w:p>
      <w:pPr>
        <w:pStyle w:val="2"/>
      </w:pPr>
      <w:r>
        <w:t>1</w:t>
      </w:r>
      <w:r>
        <w:tab/>
      </w:r>
      <w:r>
        <w:t>Introduction</w:t>
      </w:r>
    </w:p>
    <w:p>
      <w:pPr>
        <w:rPr>
          <w:rFonts w:hint="eastAsia" w:eastAsia="宋体"/>
          <w:lang w:val="en-US" w:eastAsia="zh-CN"/>
        </w:rPr>
      </w:pPr>
      <w:r>
        <w:t>We here provide further analysis on the topic of NR-DC QMC Coordination for RRC Segmentation.</w:t>
      </w:r>
      <w:r>
        <w:rPr>
          <w:rFonts w:hint="eastAsia" w:eastAsia="宋体"/>
          <w:lang w:val="en-US" w:eastAsia="zh-CN"/>
        </w:rPr>
        <w:t xml:space="preserve"> </w:t>
      </w:r>
    </w:p>
    <w:p>
      <w:pPr>
        <w:pStyle w:val="2"/>
        <w:rPr>
          <w:rFonts w:hint="default"/>
          <w:lang w:val="en-US" w:eastAsia="zh-CN"/>
        </w:rPr>
      </w:pPr>
      <w:r>
        <w:rPr>
          <w:rFonts w:hint="default"/>
          <w:lang w:val="en-US" w:eastAsia="zh-CN"/>
        </w:rPr>
        <w:t>2</w:t>
      </w:r>
      <w:r>
        <w:rPr>
          <w:rFonts w:hint="default"/>
          <w:lang w:val="en-US" w:eastAsia="zh-CN"/>
        </w:rPr>
        <w:tab/>
      </w:r>
      <w:r>
        <w:rPr>
          <w:rFonts w:hint="default"/>
          <w:lang w:val="en-US" w:eastAsia="zh-CN"/>
        </w:rPr>
        <w:t>Background</w:t>
      </w:r>
    </w:p>
    <w:p>
      <w:pPr>
        <w:rPr>
          <w:rFonts w:hint="default" w:eastAsia="宋体"/>
          <w:lang w:val="en-US" w:eastAsia="zh-CN"/>
        </w:rPr>
      </w:pPr>
      <w:r>
        <w:rPr>
          <w:rFonts w:hint="default" w:eastAsia="宋体"/>
          <w:lang w:val="en-US" w:eastAsia="zh-CN"/>
        </w:rPr>
        <w:t xml:space="preserve">In this part, we will explain why not all QoE measurement session can upload the QoE report based on current definition. </w:t>
      </w:r>
    </w:p>
    <w:p>
      <w:pPr>
        <w:rPr>
          <w:rFonts w:hint="default" w:eastAsia="宋体"/>
          <w:lang w:val="en-US" w:eastAsia="zh-CN"/>
        </w:rPr>
      </w:pPr>
      <w:r>
        <w:rPr>
          <w:rFonts w:hint="default" w:eastAsia="宋体"/>
          <w:lang w:val="en-US" w:eastAsia="zh-CN"/>
        </w:rPr>
        <w:t>It is clear that either NR QoE or LTE QoE has two kinds of configuration way: management based and signalling based. For management based QoE, NW knows it is nearly impossible for the NW to receive the all QoE reports from all involved UEs. Because not all QoE measurement will be triggered after UE received such configuration. In addition, based on the current mechanism defined in SA4 specifications, there is another definition to show that even though the related UE starts the QoE measurement session, UE can not report any QoE report or can not report the measurement data at the start of session. The following content can be found in Annex F, OMA DM QoE Management Object, TS 26.247-i20:</w:t>
      </w:r>
    </w:p>
    <w:p>
      <w:pPr>
        <w:jc w:val="center"/>
        <w:rPr>
          <w:rFonts w:hint="default"/>
          <w:b/>
          <w:sz w:val="28"/>
          <w:szCs w:val="28"/>
          <w:lang w:val="en-US"/>
        </w:rPr>
      </w:pPr>
      <w:r>
        <w:rPr>
          <w:rFonts w:hint="default" w:eastAsia="宋体"/>
          <w:lang w:val="en-US" w:eastAsia="zh-CN"/>
        </w:rPr>
        <w:t>###########content in TS 26.247-i20#################</w:t>
      </w:r>
    </w:p>
    <w:p>
      <w:pPr>
        <w:rPr>
          <w:b/>
          <w:sz w:val="28"/>
          <w:szCs w:val="28"/>
        </w:rPr>
      </w:pPr>
      <w:r>
        <w:rPr>
          <w:b/>
          <w:sz w:val="28"/>
          <w:szCs w:val="28"/>
        </w:rPr>
        <w:t>/&lt;X&gt;/SamplePercentage</w:t>
      </w:r>
    </w:p>
    <w:p>
      <w:r>
        <w:t xml:space="preserve">This leaf specifies the percentage of sessions for which QoE metrics shall be reported. </w:t>
      </w:r>
      <w:r>
        <w:rPr>
          <w:highlight w:val="yellow"/>
        </w:rPr>
        <w:t>The client evaluates a random number at start of each session to determine if reporting shall be done for the specific session.</w:t>
      </w:r>
      <w:r>
        <w:t xml:space="preserve"> If this leaf is not defined QoE reports are sent for every session.</w:t>
      </w:r>
    </w:p>
    <w:p>
      <w:pPr>
        <w:pStyle w:val="50"/>
      </w:pPr>
      <w:r>
        <w:t>-</w:t>
      </w:r>
      <w:r>
        <w:tab/>
      </w:r>
      <w:r>
        <w:t>Occurrence: ZeroOrOne</w:t>
      </w:r>
    </w:p>
    <w:p>
      <w:pPr>
        <w:pStyle w:val="50"/>
      </w:pPr>
      <w:r>
        <w:t>-</w:t>
      </w:r>
      <w:r>
        <w:tab/>
      </w:r>
      <w:r>
        <w:t>Format: float</w:t>
      </w:r>
    </w:p>
    <w:p>
      <w:pPr>
        <w:pStyle w:val="50"/>
      </w:pPr>
      <w:r>
        <w:t>-</w:t>
      </w:r>
      <w:r>
        <w:tab/>
      </w:r>
      <w:r>
        <w:t xml:space="preserve">Minimum Access Types: Get </w:t>
      </w:r>
    </w:p>
    <w:p>
      <w:pPr>
        <w:pStyle w:val="50"/>
        <w:rPr>
          <w:highlight w:val="yellow"/>
        </w:rPr>
      </w:pPr>
      <w:r>
        <w:rPr>
          <w:highlight w:val="yellow"/>
        </w:rPr>
        <w:t>-</w:t>
      </w:r>
      <w:r>
        <w:rPr>
          <w:highlight w:val="yellow"/>
        </w:rPr>
        <w:tab/>
      </w:r>
      <w:r>
        <w:rPr>
          <w:highlight w:val="yellow"/>
        </w:rPr>
        <w:t>Values: 0.0-100.0.</w:t>
      </w:r>
    </w:p>
    <w:p>
      <w:pPr>
        <w:rPr>
          <w:b/>
          <w:sz w:val="28"/>
          <w:szCs w:val="28"/>
        </w:rPr>
      </w:pPr>
      <w:r>
        <w:rPr>
          <w:b/>
          <w:sz w:val="28"/>
          <w:szCs w:val="28"/>
        </w:rPr>
        <w:t>/&lt;X&gt;/StartTime</w:t>
      </w:r>
    </w:p>
    <w:p>
      <w:r>
        <w:rPr>
          <w:highlight w:val="yellow"/>
        </w:rPr>
        <w:t xml:space="preserve">This leaf specifies when collection of QoE metrics shall start. It is specified in seconds and is relative to the start of the session. </w:t>
      </w:r>
      <w:r>
        <w:t>If this leaf is not defined, the QoE collection shall be done from the start of the session.</w:t>
      </w:r>
    </w:p>
    <w:p>
      <w:pPr>
        <w:pStyle w:val="50"/>
      </w:pPr>
      <w:r>
        <w:t>-</w:t>
      </w:r>
      <w:r>
        <w:tab/>
      </w:r>
      <w:r>
        <w:t>Occurrence: ZeroOrOne</w:t>
      </w:r>
    </w:p>
    <w:p>
      <w:pPr>
        <w:pStyle w:val="50"/>
      </w:pPr>
      <w:r>
        <w:t>-</w:t>
      </w:r>
      <w:r>
        <w:tab/>
      </w:r>
      <w:r>
        <w:t>Format: int</w:t>
      </w:r>
    </w:p>
    <w:p>
      <w:pPr>
        <w:pStyle w:val="50"/>
      </w:pPr>
      <w:r>
        <w:t>-</w:t>
      </w:r>
      <w:r>
        <w:tab/>
      </w:r>
      <w:r>
        <w:t xml:space="preserve">Minimum Access Types: Get </w:t>
      </w:r>
    </w:p>
    <w:p>
      <w:pPr>
        <w:pStyle w:val="50"/>
      </w:pPr>
      <w:r>
        <w:t>-</w:t>
      </w:r>
      <w:r>
        <w:tab/>
      </w:r>
      <w:r>
        <w:t>Values: seconds</w:t>
      </w:r>
    </w:p>
    <w:p>
      <w:pPr>
        <w:rPr>
          <w:b/>
          <w:sz w:val="28"/>
          <w:szCs w:val="28"/>
        </w:rPr>
      </w:pPr>
      <w:r>
        <w:rPr>
          <w:b/>
          <w:sz w:val="28"/>
          <w:szCs w:val="28"/>
        </w:rPr>
        <w:t>/&lt;X&gt;/Duration</w:t>
      </w:r>
    </w:p>
    <w:p>
      <w:pPr>
        <w:rPr>
          <w:highlight w:val="yellow"/>
        </w:rPr>
      </w:pPr>
      <w:r>
        <w:rPr>
          <w:highlight w:val="yellow"/>
        </w:rPr>
        <w:t>This leaf specifies for how long QoE collection shall be done. It is specified in seconds and is relative to the start time of QoE collection. If this leaf is not defined QoE collection shall be done until the end of the session.</w:t>
      </w:r>
    </w:p>
    <w:p>
      <w:pPr>
        <w:pStyle w:val="50"/>
      </w:pPr>
      <w:r>
        <w:t>-</w:t>
      </w:r>
      <w:r>
        <w:tab/>
      </w:r>
      <w:r>
        <w:t>Occurrence: ZeroOrOne</w:t>
      </w:r>
    </w:p>
    <w:p>
      <w:pPr>
        <w:pStyle w:val="50"/>
      </w:pPr>
      <w:r>
        <w:t>-</w:t>
      </w:r>
      <w:r>
        <w:tab/>
      </w:r>
      <w:r>
        <w:t>Format: int</w:t>
      </w:r>
    </w:p>
    <w:p>
      <w:pPr>
        <w:pStyle w:val="50"/>
      </w:pPr>
      <w:r>
        <w:t>-</w:t>
      </w:r>
      <w:r>
        <w:tab/>
      </w:r>
      <w:r>
        <w:t xml:space="preserve">Minimum Access Types: Get </w:t>
      </w:r>
    </w:p>
    <w:p>
      <w:pPr>
        <w:pStyle w:val="50"/>
        <w:rPr>
          <w:rFonts w:hint="default" w:eastAsia="宋体"/>
          <w:lang w:val="en-US" w:eastAsia="zh-CN"/>
        </w:rPr>
      </w:pPr>
      <w:r>
        <w:t>-</w:t>
      </w:r>
      <w:r>
        <w:tab/>
      </w:r>
      <w:r>
        <w:t>Values: seconds.</w:t>
      </w:r>
    </w:p>
    <w:p>
      <w:pPr>
        <w:jc w:val="center"/>
        <w:rPr>
          <w:rFonts w:hint="default" w:eastAsia="宋体"/>
          <w:lang w:val="en-US" w:eastAsia="zh-CN"/>
        </w:rPr>
      </w:pPr>
      <w:r>
        <w:rPr>
          <w:rFonts w:hint="default" w:eastAsia="宋体"/>
          <w:lang w:val="en-US" w:eastAsia="zh-CN"/>
        </w:rPr>
        <w:t>###########content in TS 26.247-i20#################</w:t>
      </w:r>
    </w:p>
    <w:p>
      <w:pPr>
        <w:rPr>
          <w:rFonts w:hint="default" w:eastAsia="宋体"/>
          <w:lang w:val="en-US" w:eastAsia="zh-CN"/>
        </w:rPr>
      </w:pPr>
      <w:r>
        <w:rPr>
          <w:rFonts w:hint="default" w:eastAsia="宋体"/>
          <w:lang w:val="en-US" w:eastAsia="zh-CN"/>
        </w:rPr>
        <w:t>More specifically, if NW add the /&lt;X&gt;/SamplePercentage in a QoE configuration, when a UE starts the QoE session and the random number is 0, then, based on the definition of this IE, this UE can not report any QoE report in this whole session.</w:t>
      </w:r>
    </w:p>
    <w:p>
      <w:pPr>
        <w:rPr>
          <w:rFonts w:hint="default" w:eastAsia="宋体"/>
          <w:b/>
          <w:bCs/>
          <w:lang w:val="en-US" w:eastAsia="zh-CN"/>
        </w:rPr>
      </w:pPr>
      <w:r>
        <w:rPr>
          <w:rFonts w:hint="default" w:eastAsia="宋体"/>
          <w:b/>
          <w:bCs/>
          <w:lang w:val="en-US" w:eastAsia="zh-CN"/>
        </w:rPr>
        <w:t>Observation 1: Based on the current definition of /&lt;X&gt;/SamplePercentage, it is possible that even though UE starts a QoE session, without further configuration from NW, UE may not report any QoE measurement data.</w:t>
      </w:r>
    </w:p>
    <w:p>
      <w:pPr>
        <w:rPr>
          <w:rFonts w:hint="default" w:eastAsia="宋体"/>
          <w:lang w:val="en-US" w:eastAsia="zh-CN"/>
        </w:rPr>
      </w:pPr>
      <w:r>
        <w:rPr>
          <w:rFonts w:hint="default" w:eastAsia="宋体"/>
          <w:lang w:val="en-US" w:eastAsia="zh-CN"/>
        </w:rPr>
        <w:t>Similarly, the /&lt;X&gt;/StartTime and /&lt;X&gt;/Duration IE defines when shall UE reports the QoE measurement data. If such IEs exist in QoE configuration container, UE can only upload QoE report in part of QoE session.</w:t>
      </w:r>
    </w:p>
    <w:p>
      <w:pPr>
        <w:rPr>
          <w:rFonts w:hint="default" w:eastAsia="宋体"/>
          <w:b/>
          <w:bCs/>
          <w:lang w:val="en-US" w:eastAsia="zh-CN"/>
        </w:rPr>
      </w:pPr>
      <w:r>
        <w:rPr>
          <w:rFonts w:hint="default" w:eastAsia="宋体"/>
          <w:b/>
          <w:bCs/>
          <w:lang w:val="en-US" w:eastAsia="zh-CN"/>
        </w:rPr>
        <w:t>Observation 2: Based on the current definition of /&lt;X&gt;/Duration and /&lt;X&gt;/StartTime, it is possible that UE may only report QoE measurement data in part of ongoing QoE sessions.</w:t>
      </w:r>
    </w:p>
    <w:p>
      <w:pPr>
        <w:rPr>
          <w:rFonts w:hint="eastAsia" w:eastAsia="宋体"/>
          <w:b w:val="0"/>
          <w:bCs w:val="0"/>
          <w:lang w:val="en-US" w:eastAsia="zh-CN"/>
        </w:rPr>
      </w:pPr>
      <w:r>
        <w:rPr>
          <w:rFonts w:hint="eastAsia" w:eastAsia="宋体"/>
          <w:b w:val="0"/>
          <w:bCs w:val="0"/>
          <w:lang w:val="en-US" w:eastAsia="zh-CN"/>
        </w:rPr>
        <w:t>In addition, if a QoE report size is larger than the maximum supported size of one PDCP SDU defined in current spec, without RRC segmentation, UE will directly discard this report. Detail content can be found below:</w:t>
      </w:r>
    </w:p>
    <w:p>
      <w:pPr>
        <w:jc w:val="center"/>
        <w:rPr>
          <w:rFonts w:hint="default" w:eastAsia="宋体"/>
          <w:lang w:val="en-US" w:eastAsia="zh-CN"/>
        </w:rPr>
      </w:pPr>
      <w:r>
        <w:rPr>
          <w:rFonts w:hint="default" w:eastAsia="宋体"/>
          <w:lang w:val="en-US" w:eastAsia="zh-CN"/>
        </w:rPr>
        <w:t xml:space="preserve">###########content in TS </w:t>
      </w:r>
      <w:r>
        <w:rPr>
          <w:rFonts w:hint="eastAsia" w:eastAsia="宋体"/>
          <w:lang w:val="en-US" w:eastAsia="zh-CN"/>
        </w:rPr>
        <w:t>38.331</w:t>
      </w:r>
      <w:r>
        <w:rPr>
          <w:rFonts w:hint="default" w:eastAsia="宋体"/>
          <w:lang w:val="en-US" w:eastAsia="zh-CN"/>
        </w:rPr>
        <w:t>-i</w:t>
      </w:r>
      <w:r>
        <w:rPr>
          <w:rFonts w:hint="eastAsia" w:eastAsia="宋体"/>
          <w:lang w:val="en-US" w:eastAsia="zh-CN"/>
        </w:rPr>
        <w:t>3</w:t>
      </w:r>
      <w:r>
        <w:rPr>
          <w:rFonts w:hint="default" w:eastAsia="宋体"/>
          <w:lang w:val="en-US" w:eastAsia="zh-CN"/>
        </w:rPr>
        <w:t>0#################</w:t>
      </w:r>
    </w:p>
    <w:p>
      <w:pPr>
        <w:pStyle w:val="50"/>
      </w:pPr>
      <w:r>
        <w:t>1&gt;</w:t>
      </w:r>
      <w:r>
        <w:tab/>
      </w:r>
      <w:r>
        <w:t xml:space="preserve">for each encoded </w:t>
      </w:r>
      <w:r>
        <w:rPr>
          <w:i/>
          <w:iCs/>
        </w:rPr>
        <w:t>MeasurementReportAppLayer</w:t>
      </w:r>
      <w:r>
        <w:t xml:space="preserve"> message generated above which contains either only encapsulated application layer measurement reports or both encapsulated application layer measurement reports and RAN visible application layer measurement reports:</w:t>
      </w:r>
    </w:p>
    <w:p>
      <w:pPr>
        <w:pStyle w:val="61"/>
      </w:pPr>
      <w:r>
        <w:t>2&gt;</w:t>
      </w:r>
      <w:r>
        <w:tab/>
      </w:r>
      <w:r>
        <w:t xml:space="preserve">if </w:t>
      </w:r>
      <w:r>
        <w:rPr>
          <w:i/>
          <w:iCs/>
        </w:rPr>
        <w:t>reportingSRB</w:t>
      </w:r>
      <w:r>
        <w:t xml:space="preserve"> is not configured for the </w:t>
      </w:r>
      <w:r>
        <w:rPr>
          <w:i/>
          <w:iCs/>
        </w:rPr>
        <w:t>measConfigAppLayerId</w:t>
      </w:r>
      <w:r>
        <w:t>:</w:t>
      </w:r>
    </w:p>
    <w:p>
      <w:pPr>
        <w:pStyle w:val="62"/>
        <w:rPr>
          <w:highlight w:val="yellow"/>
        </w:rPr>
      </w:pPr>
      <w:r>
        <w:rPr>
          <w:highlight w:val="yellow"/>
        </w:rPr>
        <w:t>3&gt;</w:t>
      </w:r>
      <w:r>
        <w:rPr>
          <w:highlight w:val="yellow"/>
        </w:rPr>
        <w:tab/>
      </w:r>
      <w:r>
        <w:rPr>
          <w:highlight w:val="yellow"/>
        </w:rPr>
        <w:t>if the encoded RRC message is larger than the maximum supported size of one PDCP SDU specified in TS 38.323 [5]:</w:t>
      </w:r>
    </w:p>
    <w:p>
      <w:pPr>
        <w:pStyle w:val="63"/>
        <w:rPr>
          <w:rFonts w:eastAsia="宋体"/>
        </w:rPr>
      </w:pPr>
      <w:r>
        <w:t>4&gt;</w:t>
      </w:r>
      <w:r>
        <w:tab/>
      </w:r>
      <w:r>
        <w:t xml:space="preserve">if the RRC message segmentation is enabled based on the field </w:t>
      </w:r>
      <w:r>
        <w:rPr>
          <w:i/>
          <w:iCs/>
        </w:rPr>
        <w:t>rrc-SegAllowed</w:t>
      </w:r>
      <w:r>
        <w:t xml:space="preserve"> received in </w:t>
      </w:r>
      <w:r>
        <w:rPr>
          <w:i/>
        </w:rPr>
        <w:t>appLayerMeasConfig</w:t>
      </w:r>
      <w:r>
        <w:rPr>
          <w:rFonts w:eastAsia="宋体"/>
        </w:rPr>
        <w:t>:</w:t>
      </w:r>
    </w:p>
    <w:p>
      <w:pPr>
        <w:pStyle w:val="64"/>
        <w:rPr>
          <w:rFonts w:eastAsia="宋体"/>
        </w:rPr>
      </w:pPr>
      <w:r>
        <w:t>5&gt;</w:t>
      </w:r>
      <w:r>
        <w:tab/>
      </w:r>
      <w:r>
        <w:t>in</w:t>
      </w:r>
      <w:r>
        <w:rPr>
          <w:rFonts w:eastAsia="宋体"/>
        </w:rPr>
        <w:t xml:space="preserve">itiate </w:t>
      </w:r>
      <w:r>
        <w:t>the UL message segment transfe</w:t>
      </w:r>
      <w:r>
        <w:rPr>
          <w:rFonts w:eastAsia="宋体"/>
        </w:rPr>
        <w:t>r procedure as specified in clause 5.7.7 for transmission via SRB4;</w:t>
      </w:r>
    </w:p>
    <w:p>
      <w:pPr>
        <w:pStyle w:val="63"/>
        <w:rPr>
          <w:rFonts w:eastAsia="宋体"/>
        </w:rPr>
      </w:pPr>
      <w:r>
        <w:rPr>
          <w:rFonts w:eastAsia="宋体"/>
        </w:rPr>
        <w:t>4&gt;</w:t>
      </w:r>
      <w:r>
        <w:rPr>
          <w:rFonts w:eastAsia="宋体"/>
        </w:rPr>
        <w:tab/>
      </w:r>
      <w:r>
        <w:rPr>
          <w:rFonts w:eastAsia="宋体"/>
        </w:rPr>
        <w:t>else:</w:t>
      </w:r>
    </w:p>
    <w:p>
      <w:pPr>
        <w:pStyle w:val="64"/>
        <w:rPr>
          <w:rFonts w:eastAsia="宋体"/>
          <w:highlight w:val="yellow"/>
        </w:rPr>
      </w:pPr>
      <w:r>
        <w:rPr>
          <w:rFonts w:eastAsia="宋体"/>
          <w:highlight w:val="yellow"/>
        </w:rPr>
        <w:t>5&gt;</w:t>
      </w:r>
      <w:r>
        <w:rPr>
          <w:rFonts w:eastAsia="宋体"/>
          <w:highlight w:val="yellow"/>
        </w:rPr>
        <w:tab/>
      </w:r>
      <w:r>
        <w:rPr>
          <w:rFonts w:eastAsia="宋体"/>
          <w:highlight w:val="yellow"/>
        </w:rPr>
        <w:t>discard the RRC message;</w:t>
      </w:r>
    </w:p>
    <w:p>
      <w:pPr>
        <w:pStyle w:val="62"/>
        <w:rPr>
          <w:rFonts w:eastAsia="宋体"/>
        </w:rPr>
      </w:pPr>
      <w:r>
        <w:t>3&gt;</w:t>
      </w:r>
      <w:r>
        <w:tab/>
      </w:r>
      <w:r>
        <w:rPr>
          <w:rFonts w:eastAsia="宋体"/>
        </w:rPr>
        <w:t>else:</w:t>
      </w:r>
    </w:p>
    <w:p>
      <w:pPr>
        <w:pStyle w:val="63"/>
      </w:pPr>
      <w:r>
        <w:t>4&gt;</w:t>
      </w:r>
      <w:r>
        <w:tab/>
      </w:r>
      <w:r>
        <w:t xml:space="preserve">submit the </w:t>
      </w:r>
      <w:r>
        <w:rPr>
          <w:i/>
        </w:rPr>
        <w:t>MeasurementReportAppLayer</w:t>
      </w:r>
      <w:r>
        <w:t xml:space="preserve"> message to lower layers for transmission via SRB4.</w:t>
      </w:r>
    </w:p>
    <w:p>
      <w:pPr>
        <w:pStyle w:val="61"/>
      </w:pPr>
      <w:r>
        <w:t>2&gt;</w:t>
      </w:r>
      <w:r>
        <w:tab/>
      </w:r>
      <w:r>
        <w:t xml:space="preserve">else if </w:t>
      </w:r>
      <w:r>
        <w:rPr>
          <w:i/>
          <w:iCs/>
        </w:rPr>
        <w:t>reportingSRB</w:t>
      </w:r>
      <w:r>
        <w:t xml:space="preserve"> is configured for the </w:t>
      </w:r>
      <w:r>
        <w:rPr>
          <w:i/>
          <w:iCs/>
        </w:rPr>
        <w:t>measConfigAppLayerId</w:t>
      </w:r>
      <w:r>
        <w:t>:</w:t>
      </w:r>
    </w:p>
    <w:p>
      <w:pPr>
        <w:pStyle w:val="62"/>
        <w:rPr>
          <w:highlight w:val="yellow"/>
        </w:rPr>
      </w:pPr>
      <w:r>
        <w:rPr>
          <w:highlight w:val="yellow"/>
        </w:rPr>
        <w:t>3&gt;</w:t>
      </w:r>
      <w:r>
        <w:rPr>
          <w:highlight w:val="yellow"/>
        </w:rPr>
        <w:tab/>
      </w:r>
      <w:r>
        <w:rPr>
          <w:highlight w:val="yellow"/>
        </w:rPr>
        <w:t>if the encoded RRC message is larger than the maximum supported size of one PDCP SDU specified in TS 38.323 [5]:</w:t>
      </w:r>
    </w:p>
    <w:p>
      <w:pPr>
        <w:pStyle w:val="63"/>
      </w:pPr>
      <w:r>
        <w:t>4&gt;</w:t>
      </w:r>
      <w:r>
        <w:tab/>
      </w:r>
      <w:r>
        <w:t xml:space="preserve">if the RRC message segmentation is enabled based on the field </w:t>
      </w:r>
      <w:r>
        <w:rPr>
          <w:i/>
          <w:iCs/>
        </w:rPr>
        <w:t>rrc-SegAllowedSRB4</w:t>
      </w:r>
      <w:r>
        <w:t xml:space="preserve"> received in </w:t>
      </w:r>
      <w:r>
        <w:rPr>
          <w:i/>
          <w:iCs/>
        </w:rPr>
        <w:t>appLayerMeasConfig</w:t>
      </w:r>
      <w:r>
        <w:t xml:space="preserve"> and the </w:t>
      </w:r>
      <w:r>
        <w:rPr>
          <w:i/>
          <w:iCs/>
        </w:rPr>
        <w:t>reportingSRB</w:t>
      </w:r>
      <w:r>
        <w:t xml:space="preserve"> is SRB4, or</w:t>
      </w:r>
    </w:p>
    <w:p>
      <w:pPr>
        <w:pStyle w:val="63"/>
        <w:rPr>
          <w:rFonts w:eastAsia="宋体"/>
        </w:rPr>
      </w:pPr>
      <w:r>
        <w:t>4&gt;</w:t>
      </w:r>
      <w:r>
        <w:tab/>
      </w:r>
      <w:r>
        <w:t xml:space="preserve">if RRC message segmentation is enabled based on the field </w:t>
      </w:r>
      <w:r>
        <w:rPr>
          <w:i/>
          <w:iCs/>
        </w:rPr>
        <w:t>rrc-SegAllowedSRB5</w:t>
      </w:r>
      <w:r>
        <w:t xml:space="preserve"> received in </w:t>
      </w:r>
      <w:r>
        <w:rPr>
          <w:i/>
        </w:rPr>
        <w:t>appLayerMeasConfig</w:t>
      </w:r>
      <w:r>
        <w:t xml:space="preserve"> and the </w:t>
      </w:r>
      <w:r>
        <w:rPr>
          <w:i/>
          <w:iCs/>
        </w:rPr>
        <w:t>reportingSRB</w:t>
      </w:r>
      <w:r>
        <w:t xml:space="preserve"> is SRB5</w:t>
      </w:r>
      <w:r>
        <w:rPr>
          <w:rFonts w:eastAsia="宋体"/>
        </w:rPr>
        <w:t>:</w:t>
      </w:r>
    </w:p>
    <w:p>
      <w:pPr>
        <w:pStyle w:val="64"/>
        <w:rPr>
          <w:rFonts w:eastAsia="宋体"/>
        </w:rPr>
      </w:pPr>
      <w:r>
        <w:t>5&gt;</w:t>
      </w:r>
      <w:r>
        <w:tab/>
      </w:r>
      <w:r>
        <w:t>in</w:t>
      </w:r>
      <w:r>
        <w:rPr>
          <w:rFonts w:eastAsia="宋体"/>
        </w:rPr>
        <w:t xml:space="preserve">itiate </w:t>
      </w:r>
      <w:r>
        <w:t>the UL message segment transfe</w:t>
      </w:r>
      <w:r>
        <w:rPr>
          <w:rFonts w:eastAsia="宋体"/>
        </w:rPr>
        <w:t xml:space="preserve">r procedure as specified in clause 5.7.7 for transmission via the SRB indicated in </w:t>
      </w:r>
      <w:r>
        <w:t xml:space="preserve">the field </w:t>
      </w:r>
      <w:r>
        <w:rPr>
          <w:i/>
          <w:iCs/>
        </w:rPr>
        <w:t>reportingSRB</w:t>
      </w:r>
      <w:r>
        <w:t xml:space="preserve"> in </w:t>
      </w:r>
      <w:r>
        <w:rPr>
          <w:i/>
          <w:iCs/>
        </w:rPr>
        <w:t>MeasConfigAppLayer</w:t>
      </w:r>
      <w:r>
        <w:rPr>
          <w:rFonts w:eastAsia="宋体"/>
        </w:rPr>
        <w:t>;</w:t>
      </w:r>
    </w:p>
    <w:p>
      <w:pPr>
        <w:pStyle w:val="63"/>
        <w:rPr>
          <w:rFonts w:eastAsia="宋体"/>
          <w:highlight w:val="yellow"/>
        </w:rPr>
      </w:pPr>
      <w:r>
        <w:rPr>
          <w:rFonts w:eastAsia="宋体"/>
          <w:highlight w:val="yellow"/>
        </w:rPr>
        <w:t>4&gt;</w:t>
      </w:r>
      <w:r>
        <w:rPr>
          <w:rFonts w:eastAsia="宋体"/>
          <w:highlight w:val="yellow"/>
        </w:rPr>
        <w:tab/>
      </w:r>
      <w:r>
        <w:rPr>
          <w:rFonts w:eastAsia="宋体"/>
          <w:highlight w:val="yellow"/>
        </w:rPr>
        <w:t>else:</w:t>
      </w:r>
    </w:p>
    <w:p>
      <w:pPr>
        <w:pStyle w:val="64"/>
        <w:rPr>
          <w:rFonts w:eastAsia="宋体"/>
          <w:highlight w:val="yellow"/>
        </w:rPr>
      </w:pPr>
      <w:r>
        <w:rPr>
          <w:rFonts w:eastAsia="宋体"/>
          <w:highlight w:val="yellow"/>
        </w:rPr>
        <w:t>5&gt;</w:t>
      </w:r>
      <w:r>
        <w:rPr>
          <w:rFonts w:eastAsia="宋体"/>
          <w:highlight w:val="yellow"/>
        </w:rPr>
        <w:tab/>
      </w:r>
      <w:r>
        <w:rPr>
          <w:rFonts w:eastAsia="宋体"/>
          <w:highlight w:val="yellow"/>
        </w:rPr>
        <w:t>discard the RRC message;</w:t>
      </w:r>
    </w:p>
    <w:p>
      <w:pPr>
        <w:pStyle w:val="62"/>
        <w:rPr>
          <w:rFonts w:eastAsia="宋体"/>
        </w:rPr>
      </w:pPr>
      <w:r>
        <w:t>3&gt;</w:t>
      </w:r>
      <w:r>
        <w:tab/>
      </w:r>
      <w:r>
        <w:rPr>
          <w:rFonts w:eastAsia="宋体"/>
        </w:rPr>
        <w:t>else:</w:t>
      </w:r>
    </w:p>
    <w:p>
      <w:pPr>
        <w:pStyle w:val="63"/>
      </w:pPr>
      <w:r>
        <w:t>4&gt;</w:t>
      </w:r>
      <w:r>
        <w:tab/>
      </w:r>
      <w:r>
        <w:t xml:space="preserve">submit the </w:t>
      </w:r>
      <w:r>
        <w:rPr>
          <w:i/>
        </w:rPr>
        <w:t>MeasurementReportAppLayer</w:t>
      </w:r>
      <w:r>
        <w:t xml:space="preserve"> message to lower layers for transmission via the SRB indicated in the field </w:t>
      </w:r>
      <w:r>
        <w:rPr>
          <w:i/>
          <w:iCs/>
        </w:rPr>
        <w:t>reportingSRB</w:t>
      </w:r>
      <w:r>
        <w:t xml:space="preserve"> in </w:t>
      </w:r>
      <w:r>
        <w:rPr>
          <w:i/>
          <w:iCs/>
        </w:rPr>
        <w:t>MeasConfigAppLayer</w:t>
      </w:r>
      <w:r>
        <w:t>.</w:t>
      </w:r>
    </w:p>
    <w:p>
      <w:pPr>
        <w:jc w:val="center"/>
        <w:rPr>
          <w:rFonts w:hint="default" w:eastAsia="宋体"/>
          <w:lang w:val="en-US" w:eastAsia="zh-CN"/>
        </w:rPr>
      </w:pPr>
      <w:r>
        <w:rPr>
          <w:rFonts w:hint="default" w:eastAsia="宋体"/>
          <w:lang w:val="en-US" w:eastAsia="zh-CN"/>
        </w:rPr>
        <w:t xml:space="preserve">###########content in TS </w:t>
      </w:r>
      <w:r>
        <w:rPr>
          <w:rFonts w:hint="eastAsia" w:eastAsia="宋体"/>
          <w:lang w:val="en-US" w:eastAsia="zh-CN"/>
        </w:rPr>
        <w:t>38.331</w:t>
      </w:r>
      <w:r>
        <w:rPr>
          <w:rFonts w:hint="default" w:eastAsia="宋体"/>
          <w:lang w:val="en-US" w:eastAsia="zh-CN"/>
        </w:rPr>
        <w:t>-i</w:t>
      </w:r>
      <w:r>
        <w:rPr>
          <w:rFonts w:hint="eastAsia" w:eastAsia="宋体"/>
          <w:lang w:val="en-US" w:eastAsia="zh-CN"/>
        </w:rPr>
        <w:t>3</w:t>
      </w:r>
      <w:r>
        <w:rPr>
          <w:rFonts w:hint="default" w:eastAsia="宋体"/>
          <w:lang w:val="en-US" w:eastAsia="zh-CN"/>
        </w:rPr>
        <w:t>0#################</w:t>
      </w:r>
    </w:p>
    <w:p>
      <w:pPr>
        <w:rPr>
          <w:rFonts w:hint="default" w:eastAsia="宋体"/>
          <w:b/>
          <w:bCs/>
          <w:lang w:val="en-US" w:eastAsia="zh-CN"/>
        </w:rPr>
      </w:pPr>
      <w:r>
        <w:rPr>
          <w:rFonts w:hint="default" w:eastAsia="宋体"/>
          <w:b/>
          <w:bCs/>
          <w:lang w:val="en-US" w:eastAsia="zh-CN"/>
        </w:rPr>
        <w:t xml:space="preserve">Observation 3: </w:t>
      </w:r>
      <w:r>
        <w:rPr>
          <w:rFonts w:hint="eastAsia" w:eastAsia="宋体"/>
          <w:b/>
          <w:bCs/>
          <w:lang w:val="en-US" w:eastAsia="zh-CN"/>
        </w:rPr>
        <w:t>If a QoE report size is larger than the maximum supported size of one PDCP SDU defined in current spec, without RRC segmentation, UE will directly discard this report.</w:t>
      </w:r>
    </w:p>
    <w:p>
      <w:pPr>
        <w:pStyle w:val="2"/>
      </w:pPr>
      <w:r>
        <w:rPr>
          <w:rFonts w:hint="default"/>
          <w:lang w:val="en-US"/>
        </w:rPr>
        <w:t>3</w:t>
      </w:r>
      <w:r>
        <w:tab/>
      </w:r>
      <w:r>
        <w:t>Discussion</w:t>
      </w:r>
    </w:p>
    <w:p>
      <w:pPr>
        <w:pStyle w:val="71"/>
        <w:spacing w:after="0"/>
        <w:rPr>
          <w:rFonts w:hint="default" w:ascii="Times New Roman" w:hAnsi="Times New Roman" w:eastAsia="宋体"/>
          <w:sz w:val="20"/>
          <w:lang w:val="en-US" w:eastAsia="zh-CN"/>
        </w:rPr>
      </w:pPr>
      <w:r>
        <w:rPr>
          <w:rFonts w:hint="default" w:ascii="Times New Roman" w:hAnsi="Times New Roman" w:eastAsia="宋体"/>
          <w:sz w:val="20"/>
          <w:lang w:val="en-US" w:eastAsia="zh-CN"/>
        </w:rPr>
        <w:t>In our previous meetings, companies discussed issue on RRC segmentation coordination for QoE NRDC case and made no consensus on the solution. At the end of RAN3#125bis meeting, 2 options are on the table:</w:t>
      </w:r>
    </w:p>
    <w:p>
      <w:pPr>
        <w:numPr>
          <w:ilvl w:val="0"/>
          <w:numId w:val="1"/>
        </w:numPr>
        <w:bidi w:val="0"/>
        <w:ind w:left="420" w:leftChars="0" w:hanging="420" w:firstLineChars="0"/>
        <w:rPr>
          <w:rFonts w:hint="default"/>
          <w:lang w:val="en-US" w:eastAsia="zh-CN"/>
        </w:rPr>
      </w:pPr>
      <w:r>
        <w:rPr>
          <w:rFonts w:hint="default"/>
          <w:b/>
          <w:bCs/>
          <w:lang w:val="en-US" w:eastAsia="zh-CN"/>
        </w:rPr>
        <w:t xml:space="preserve">Option 1: </w:t>
      </w:r>
      <w:r>
        <w:rPr>
          <w:rFonts w:hint="default"/>
          <w:lang w:val="en-US" w:eastAsia="zh-CN"/>
        </w:rPr>
        <w:t>The QoE configuring node sends the request explicitly on whether the non QoE configuring node enables the RRC segmentation, and the non QoE configuring node sends the response on whether the non QoE configuring node enables the RRC segmentation (as provided in [1]).</w:t>
      </w:r>
    </w:p>
    <w:p>
      <w:pPr>
        <w:numPr>
          <w:ilvl w:val="0"/>
          <w:numId w:val="1"/>
        </w:numPr>
        <w:bidi w:val="0"/>
        <w:ind w:left="420" w:leftChars="0" w:hanging="420" w:firstLineChars="0"/>
        <w:rPr>
          <w:rFonts w:hint="default"/>
          <w:lang w:val="en-US" w:eastAsia="zh-CN"/>
        </w:rPr>
      </w:pPr>
      <w:r>
        <w:rPr>
          <w:rFonts w:hint="default"/>
          <w:b/>
          <w:bCs/>
          <w:lang w:val="en-US" w:eastAsia="zh-CN"/>
        </w:rPr>
        <w:t>Option 2:</w:t>
      </w:r>
      <w:r>
        <w:rPr>
          <w:rFonts w:hint="default"/>
          <w:lang w:val="en-US" w:eastAsia="zh-CN"/>
        </w:rPr>
        <w:t xml:space="preserve"> The QoE configuring node sends the QMC coordination request which implicitly requests on whether the non QoE configuring node enables the RRC segmentation, and the non QoE configuring node sends the response on whether the non QoE configuring node enables the RRC segmentation (as provided in [2]).</w:t>
      </w:r>
    </w:p>
    <w:p>
      <w:pPr>
        <w:pStyle w:val="71"/>
        <w:spacing w:after="0"/>
        <w:rPr>
          <w:rFonts w:hint="default" w:ascii="Times New Roman" w:hAnsi="Times New Roman" w:eastAsia="宋体"/>
          <w:sz w:val="20"/>
          <w:lang w:val="en-US" w:eastAsia="zh-CN"/>
        </w:rPr>
      </w:pPr>
      <w:r>
        <w:rPr>
          <w:rFonts w:hint="default" w:ascii="Times New Roman" w:hAnsi="Times New Roman" w:eastAsia="宋体"/>
          <w:sz w:val="20"/>
          <w:lang w:val="en-US" w:eastAsia="zh-CN"/>
        </w:rPr>
        <w:t>Before this meeting. We further analysis the detail for either option and prefer to support modified option 2, which is:</w:t>
      </w:r>
    </w:p>
    <w:p>
      <w:pPr>
        <w:pStyle w:val="71"/>
        <w:spacing w:after="0"/>
        <w:rPr>
          <w:rFonts w:hint="default" w:ascii="Times New Roman" w:hAnsi="Times New Roman" w:eastAsia="宋体"/>
          <w:b/>
          <w:bCs/>
          <w:sz w:val="20"/>
          <w:lang w:val="en-US" w:eastAsia="zh-CN"/>
        </w:rPr>
      </w:pPr>
      <w:bookmarkStart w:id="1" w:name="OLE_LINK5"/>
      <w:r>
        <w:rPr>
          <w:rFonts w:hint="default" w:ascii="Times New Roman" w:hAnsi="Times New Roman" w:eastAsia="宋体"/>
          <w:b/>
          <w:bCs/>
          <w:sz w:val="20"/>
          <w:lang w:val="en-US" w:eastAsia="zh-CN"/>
        </w:rPr>
        <w:t xml:space="preserve">Either MN or SN may report </w:t>
      </w:r>
      <w:r>
        <w:rPr>
          <w:rFonts w:hint="eastAsia" w:ascii="Times New Roman" w:hAnsi="Times New Roman" w:eastAsia="宋体"/>
          <w:b/>
          <w:bCs/>
          <w:sz w:val="20"/>
          <w:lang w:val="en-US" w:eastAsia="zh-CN"/>
        </w:rPr>
        <w:t xml:space="preserve">to its peer node </w:t>
      </w:r>
      <w:r>
        <w:rPr>
          <w:rFonts w:hint="default" w:ascii="Times New Roman" w:hAnsi="Times New Roman" w:eastAsia="宋体"/>
          <w:b/>
          <w:bCs/>
          <w:sz w:val="20"/>
          <w:lang w:val="en-US" w:eastAsia="zh-CN"/>
        </w:rPr>
        <w:t xml:space="preserve">whether it enables RRC segmentation function for QoE report in QoE coordination procedure in NRDC scenario. </w:t>
      </w:r>
    </w:p>
    <w:bookmarkEnd w:id="1"/>
    <w:p>
      <w:pPr>
        <w:pStyle w:val="71"/>
        <w:spacing w:after="0"/>
        <w:rPr>
          <w:rFonts w:hint="default" w:ascii="Times New Roman" w:hAnsi="Times New Roman" w:eastAsia="宋体"/>
          <w:sz w:val="20"/>
          <w:lang w:val="en-US" w:eastAsia="zh-CN"/>
        </w:rPr>
      </w:pPr>
      <w:r>
        <w:rPr>
          <w:rFonts w:hint="eastAsia" w:ascii="Times New Roman" w:hAnsi="Times New Roman" w:eastAsia="宋体"/>
          <w:sz w:val="20"/>
          <w:lang w:val="en-US" w:eastAsia="zh-CN"/>
        </w:rPr>
        <w:t>Further discussion on each options can be found below.</w:t>
      </w:r>
    </w:p>
    <w:p>
      <w:pPr>
        <w:pStyle w:val="3"/>
        <w:bidi w:val="0"/>
        <w:rPr>
          <w:rFonts w:hint="default"/>
          <w:lang w:val="en-US" w:eastAsia="zh-CN"/>
        </w:rPr>
      </w:pPr>
      <w:r>
        <w:rPr>
          <w:rFonts w:hint="default"/>
          <w:lang w:val="en-US" w:eastAsia="zh-CN"/>
        </w:rPr>
        <w:t>3.1</w:t>
      </w:r>
      <w:r>
        <w:rPr>
          <w:rFonts w:hint="default"/>
          <w:lang w:val="en-US" w:eastAsia="zh-CN"/>
        </w:rPr>
        <w:tab/>
      </w:r>
      <w:r>
        <w:rPr>
          <w:rFonts w:hint="default"/>
          <w:lang w:val="en-US" w:eastAsia="zh-CN"/>
        </w:rPr>
        <w:t>Why option 1 no OK:</w:t>
      </w:r>
    </w:p>
    <w:p>
      <w:pPr>
        <w:pStyle w:val="71"/>
        <w:spacing w:after="0"/>
        <w:rPr>
          <w:rFonts w:hint="default" w:ascii="Times New Roman" w:hAnsi="Times New Roman" w:eastAsia="宋体"/>
          <w:sz w:val="20"/>
          <w:lang w:val="en-US" w:eastAsia="zh-CN"/>
        </w:rPr>
      </w:pPr>
      <w:r>
        <w:rPr>
          <w:rFonts w:hint="default" w:ascii="Times New Roman" w:hAnsi="Times New Roman" w:eastAsia="宋体"/>
          <w:sz w:val="20"/>
          <w:lang w:val="en-US" w:eastAsia="zh-CN"/>
        </w:rPr>
        <w:t xml:space="preserve">Firstly, it is clear that compared with other gNB or CN, </w:t>
      </w:r>
      <w:bookmarkStart w:id="2" w:name="OLE_LINK2"/>
      <w:r>
        <w:rPr>
          <w:rFonts w:hint="eastAsia" w:ascii="Times New Roman" w:hAnsi="Times New Roman" w:eastAsia="宋体"/>
          <w:sz w:val="20"/>
          <w:lang w:val="en-US" w:eastAsia="zh-CN"/>
        </w:rPr>
        <w:t xml:space="preserve">a </w:t>
      </w:r>
      <w:r>
        <w:rPr>
          <w:rFonts w:hint="default" w:ascii="Times New Roman" w:hAnsi="Times New Roman" w:eastAsia="宋体"/>
          <w:sz w:val="20"/>
          <w:lang w:val="en-US" w:eastAsia="zh-CN"/>
        </w:rPr>
        <w:t xml:space="preserve">gNB itself is the </w:t>
      </w:r>
      <w:r>
        <w:rPr>
          <w:rFonts w:hint="eastAsia" w:ascii="Times New Roman" w:hAnsi="Times New Roman" w:eastAsia="宋体"/>
          <w:sz w:val="20"/>
          <w:lang w:val="en-US" w:eastAsia="zh-CN"/>
        </w:rPr>
        <w:t xml:space="preserve">best element to </w:t>
      </w:r>
      <w:r>
        <w:rPr>
          <w:rFonts w:hint="default" w:ascii="Times New Roman" w:hAnsi="Times New Roman" w:eastAsia="宋体"/>
          <w:sz w:val="20"/>
          <w:lang w:val="en-US" w:eastAsia="zh-CN"/>
        </w:rPr>
        <w:t xml:space="preserve">knows its own </w:t>
      </w:r>
      <w:r>
        <w:rPr>
          <w:rFonts w:hint="eastAsia" w:ascii="Times New Roman" w:hAnsi="Times New Roman" w:eastAsia="宋体"/>
          <w:sz w:val="20"/>
          <w:lang w:val="en-US" w:eastAsia="zh-CN"/>
        </w:rPr>
        <w:t xml:space="preserve">status. </w:t>
      </w:r>
      <w:bookmarkEnd w:id="2"/>
      <w:r>
        <w:rPr>
          <w:rFonts w:hint="eastAsia" w:ascii="Times New Roman" w:hAnsi="Times New Roman" w:eastAsia="宋体"/>
          <w:sz w:val="20"/>
          <w:lang w:val="en-US" w:eastAsia="zh-CN"/>
        </w:rPr>
        <w:t xml:space="preserve">Hence, it is no clear to us whether one gNB needs to be advised by its peer node(either MN or SN) on whether to </w:t>
      </w:r>
      <w:r>
        <w:rPr>
          <w:rFonts w:hint="default" w:ascii="Times New Roman" w:hAnsi="Times New Roman" w:eastAsia="宋体"/>
          <w:sz w:val="20"/>
          <w:lang w:val="en-US" w:eastAsia="zh-CN"/>
        </w:rPr>
        <w:t xml:space="preserve">enable </w:t>
      </w:r>
      <w:r>
        <w:rPr>
          <w:rFonts w:hint="eastAsia" w:ascii="Times New Roman" w:hAnsi="Times New Roman" w:eastAsia="宋体"/>
          <w:sz w:val="20"/>
          <w:lang w:val="en-US" w:eastAsia="zh-CN"/>
        </w:rPr>
        <w:t xml:space="preserve">RRC segmentation for a UE. A gNB can not properly know when the RRC segmentation shall be enabled at its peer gNB. </w:t>
      </w:r>
    </w:p>
    <w:p>
      <w:pPr>
        <w:pStyle w:val="71"/>
        <w:spacing w:after="0"/>
        <w:rPr>
          <w:rFonts w:hint="default" w:ascii="Times New Roman" w:hAnsi="Times New Roman" w:eastAsia="宋体"/>
          <w:b/>
          <w:bCs/>
          <w:sz w:val="20"/>
          <w:lang w:val="en-US" w:eastAsia="zh-CN"/>
        </w:rPr>
      </w:pPr>
      <w:r>
        <w:rPr>
          <w:rFonts w:hint="eastAsia" w:ascii="Times New Roman" w:hAnsi="Times New Roman" w:eastAsia="宋体"/>
          <w:b/>
          <w:bCs/>
          <w:sz w:val="20"/>
          <w:lang w:val="en-US" w:eastAsia="zh-CN"/>
        </w:rPr>
        <w:t xml:space="preserve">Observation </w:t>
      </w:r>
      <w:r>
        <w:rPr>
          <w:rFonts w:hint="default" w:ascii="Times New Roman" w:hAnsi="Times New Roman" w:eastAsia="宋体"/>
          <w:b/>
          <w:bCs/>
          <w:sz w:val="20"/>
          <w:lang w:val="en-US" w:eastAsia="zh-CN"/>
        </w:rPr>
        <w:t>4</w:t>
      </w:r>
      <w:r>
        <w:rPr>
          <w:rFonts w:hint="eastAsia" w:ascii="Times New Roman" w:hAnsi="Times New Roman" w:eastAsia="宋体"/>
          <w:b/>
          <w:bCs/>
          <w:sz w:val="20"/>
          <w:lang w:val="en-US" w:eastAsia="zh-CN"/>
        </w:rPr>
        <w:t xml:space="preserve">: A </w:t>
      </w:r>
      <w:r>
        <w:rPr>
          <w:rFonts w:hint="default" w:ascii="Times New Roman" w:hAnsi="Times New Roman" w:eastAsia="宋体"/>
          <w:b/>
          <w:bCs/>
          <w:sz w:val="20"/>
          <w:lang w:val="en-US" w:eastAsia="zh-CN"/>
        </w:rPr>
        <w:t xml:space="preserve">gNB itself is the </w:t>
      </w:r>
      <w:r>
        <w:rPr>
          <w:rFonts w:hint="eastAsia" w:ascii="Times New Roman" w:hAnsi="Times New Roman" w:eastAsia="宋体"/>
          <w:b/>
          <w:bCs/>
          <w:sz w:val="20"/>
          <w:lang w:val="en-US" w:eastAsia="zh-CN"/>
        </w:rPr>
        <w:t xml:space="preserve">best element to </w:t>
      </w:r>
      <w:r>
        <w:rPr>
          <w:rFonts w:hint="default" w:ascii="Times New Roman" w:hAnsi="Times New Roman" w:eastAsia="宋体"/>
          <w:b/>
          <w:bCs/>
          <w:sz w:val="20"/>
          <w:lang w:val="en-US" w:eastAsia="zh-CN"/>
        </w:rPr>
        <w:t xml:space="preserve">knows its own </w:t>
      </w:r>
      <w:r>
        <w:rPr>
          <w:rFonts w:hint="eastAsia" w:ascii="Times New Roman" w:hAnsi="Times New Roman" w:eastAsia="宋体"/>
          <w:b/>
          <w:bCs/>
          <w:sz w:val="20"/>
          <w:lang w:val="en-US" w:eastAsia="zh-CN"/>
        </w:rPr>
        <w:t>status. There is no explicit benefit for a gNB to be advised by its peer node for RRC segmentation.</w:t>
      </w:r>
    </w:p>
    <w:p>
      <w:pPr>
        <w:pStyle w:val="71"/>
        <w:spacing w:after="0"/>
        <w:rPr>
          <w:rFonts w:hint="eastAsia" w:ascii="Times New Roman" w:hAnsi="Times New Roman" w:eastAsia="宋体"/>
          <w:sz w:val="20"/>
          <w:lang w:val="en-US" w:eastAsia="zh-CN"/>
        </w:rPr>
      </w:pPr>
    </w:p>
    <w:p>
      <w:pPr>
        <w:pStyle w:val="71"/>
        <w:spacing w:after="0"/>
        <w:rPr>
          <w:rFonts w:hint="default" w:ascii="Times New Roman" w:hAnsi="Times New Roman" w:eastAsia="宋体"/>
          <w:sz w:val="20"/>
          <w:lang w:val="en-US" w:eastAsia="zh-CN"/>
        </w:rPr>
      </w:pPr>
      <w:r>
        <w:rPr>
          <w:rFonts w:hint="eastAsia" w:ascii="Times New Roman" w:hAnsi="Times New Roman" w:eastAsia="宋体"/>
          <w:sz w:val="20"/>
          <w:lang w:val="en-US" w:eastAsia="zh-CN"/>
        </w:rPr>
        <w:t>Secondly, even for a QoE-configured-gNB itself, it may not clearly understand why it can not receive a QoE report after session starts.</w:t>
      </w:r>
    </w:p>
    <w:p>
      <w:pPr>
        <w:pStyle w:val="71"/>
        <w:spacing w:after="0"/>
        <w:rPr>
          <w:rFonts w:hint="eastAsia" w:ascii="Times New Roman" w:hAnsi="Times New Roman" w:eastAsia="宋体"/>
          <w:sz w:val="20"/>
          <w:lang w:val="en-US" w:eastAsia="zh-CN"/>
        </w:rPr>
      </w:pPr>
      <w:r>
        <w:rPr>
          <w:rFonts w:hint="eastAsia" w:ascii="Times New Roman" w:hAnsi="Times New Roman" w:eastAsia="宋体"/>
          <w:sz w:val="20"/>
          <w:lang w:val="en-US" w:eastAsia="zh-CN"/>
        </w:rPr>
        <w:t xml:space="preserve">As we explained in background part, based on the current QoE mechanism, after a UE starts a QoE session, QoE reports may not be generated&amp;uploaded in partial session or the whole session without NW further impact. In addition, if gNB </w:t>
      </w:r>
      <w:r>
        <w:rPr>
          <w:rFonts w:hint="default" w:ascii="Times New Roman" w:hAnsi="Times New Roman" w:eastAsia="宋体"/>
          <w:sz w:val="20"/>
          <w:lang w:val="en-US" w:eastAsia="zh-CN"/>
        </w:rPr>
        <w:t xml:space="preserve">disables </w:t>
      </w:r>
      <w:r>
        <w:rPr>
          <w:rFonts w:hint="eastAsia" w:ascii="Times New Roman" w:hAnsi="Times New Roman" w:eastAsia="宋体"/>
          <w:sz w:val="20"/>
          <w:lang w:val="en-US" w:eastAsia="zh-CN"/>
        </w:rPr>
        <w:t>the RRC segmentation for a UE with ongoing QoE sessions, this gNB can not distinguish the following cases which may cause there is no QoE report received from this UE:</w:t>
      </w:r>
    </w:p>
    <w:p>
      <w:pPr>
        <w:pStyle w:val="71"/>
        <w:numPr>
          <w:ilvl w:val="1"/>
          <w:numId w:val="1"/>
        </w:numPr>
        <w:spacing w:after="0"/>
        <w:ind w:left="840" w:leftChars="0" w:hanging="420" w:firstLineChars="0"/>
        <w:rPr>
          <w:rFonts w:hint="default" w:ascii="Times New Roman" w:hAnsi="Times New Roman" w:eastAsia="宋体"/>
          <w:sz w:val="20"/>
          <w:lang w:val="en-US" w:eastAsia="zh-CN"/>
        </w:rPr>
      </w:pPr>
      <w:r>
        <w:rPr>
          <w:rFonts w:hint="eastAsia" w:ascii="Times New Roman" w:hAnsi="Times New Roman" w:eastAsia="宋体"/>
          <w:sz w:val="20"/>
          <w:lang w:val="en-US" w:eastAsia="zh-CN"/>
        </w:rPr>
        <w:t>QoE report oversize</w:t>
      </w:r>
    </w:p>
    <w:p>
      <w:pPr>
        <w:pStyle w:val="71"/>
        <w:numPr>
          <w:ilvl w:val="1"/>
          <w:numId w:val="1"/>
        </w:numPr>
        <w:spacing w:after="0"/>
        <w:ind w:left="840" w:leftChars="0" w:hanging="420" w:firstLineChars="0"/>
        <w:rPr>
          <w:rFonts w:hint="default" w:ascii="Times New Roman" w:hAnsi="Times New Roman" w:eastAsia="宋体"/>
          <w:sz w:val="20"/>
          <w:lang w:val="en-US" w:eastAsia="zh-CN"/>
        </w:rPr>
      </w:pPr>
      <w:r>
        <w:rPr>
          <w:rFonts w:hint="eastAsia" w:ascii="Times New Roman" w:hAnsi="Times New Roman" w:eastAsia="宋体"/>
          <w:sz w:val="20"/>
          <w:lang w:val="en-US" w:eastAsia="zh-CN"/>
        </w:rPr>
        <w:t>Based on the initial configuration in the QoE container, this QoE session can not upload any QoE reports in this period or in this whole session.</w:t>
      </w:r>
    </w:p>
    <w:p>
      <w:pPr>
        <w:pStyle w:val="71"/>
        <w:spacing w:after="0"/>
        <w:rPr>
          <w:rFonts w:hint="default" w:ascii="Times New Roman" w:hAnsi="Times New Roman" w:eastAsia="宋体"/>
          <w:b/>
          <w:bCs/>
          <w:sz w:val="20"/>
          <w:lang w:val="en-US" w:eastAsia="zh-CN"/>
        </w:rPr>
      </w:pPr>
      <w:r>
        <w:rPr>
          <w:rFonts w:hint="eastAsia" w:ascii="Times New Roman" w:hAnsi="Times New Roman" w:eastAsia="宋体"/>
          <w:b/>
          <w:bCs/>
          <w:sz w:val="20"/>
          <w:lang w:val="en-US" w:eastAsia="zh-CN"/>
        </w:rPr>
        <w:t xml:space="preserve">Observation </w:t>
      </w:r>
      <w:r>
        <w:rPr>
          <w:rFonts w:hint="default" w:ascii="Times New Roman" w:hAnsi="Times New Roman" w:eastAsia="宋体"/>
          <w:b/>
          <w:bCs/>
          <w:sz w:val="20"/>
          <w:lang w:val="en-US" w:eastAsia="zh-CN"/>
        </w:rPr>
        <w:t>5</w:t>
      </w:r>
      <w:r>
        <w:rPr>
          <w:rFonts w:hint="eastAsia" w:ascii="Times New Roman" w:hAnsi="Times New Roman" w:eastAsia="宋体"/>
          <w:b/>
          <w:bCs/>
          <w:sz w:val="20"/>
          <w:lang w:val="en-US" w:eastAsia="zh-CN"/>
        </w:rPr>
        <w:t xml:space="preserve">: A gNB does not have clearly view on why a UE does not send QoE report in a period with ongoing QoE session. </w:t>
      </w:r>
    </w:p>
    <w:p>
      <w:pPr>
        <w:pStyle w:val="3"/>
        <w:bidi w:val="0"/>
        <w:rPr>
          <w:rFonts w:hint="default"/>
          <w:lang w:val="en-US" w:eastAsia="zh-CN"/>
        </w:rPr>
      </w:pPr>
      <w:bookmarkStart w:id="3" w:name="OLE_LINK1"/>
      <w:r>
        <w:rPr>
          <w:rFonts w:hint="default"/>
          <w:lang w:val="en-US" w:eastAsia="zh-CN"/>
        </w:rPr>
        <w:t>3.2</w:t>
      </w:r>
      <w:r>
        <w:rPr>
          <w:rFonts w:hint="default"/>
          <w:lang w:val="en-US" w:eastAsia="zh-CN"/>
        </w:rPr>
        <w:tab/>
      </w:r>
      <w:r>
        <w:rPr>
          <w:rFonts w:hint="default"/>
          <w:lang w:val="en-US" w:eastAsia="zh-CN"/>
        </w:rPr>
        <w:t>Why option 2 no OK:</w:t>
      </w:r>
    </w:p>
    <w:bookmarkEnd w:id="3"/>
    <w:p>
      <w:pPr>
        <w:pStyle w:val="71"/>
        <w:spacing w:after="0"/>
        <w:rPr>
          <w:rFonts w:hint="eastAsia" w:ascii="Times New Roman" w:hAnsi="Times New Roman" w:eastAsia="宋体"/>
          <w:sz w:val="20"/>
          <w:lang w:val="en-US" w:eastAsia="zh-CN"/>
        </w:rPr>
      </w:pPr>
      <w:r>
        <w:rPr>
          <w:rFonts w:hint="eastAsia" w:ascii="Times New Roman" w:hAnsi="Times New Roman" w:eastAsia="宋体"/>
          <w:sz w:val="20"/>
          <w:lang w:val="en-US" w:eastAsia="zh-CN"/>
        </w:rPr>
        <w:t xml:space="preserve">We were one of supporters for option 2 in previous meetings. However, based on the further checking these days, we believe there are problems for option2. More specifically, based on the definition in TS 38.331, option 2 may bring issue during configuration. </w:t>
      </w:r>
    </w:p>
    <w:p>
      <w:pPr>
        <w:jc w:val="center"/>
      </w:pPr>
      <w:r>
        <w:rPr>
          <w:rFonts w:hint="default" w:eastAsia="宋体"/>
          <w:lang w:val="en-US" w:eastAsia="zh-CN"/>
        </w:rPr>
        <w:t xml:space="preserve">###########content in TS </w:t>
      </w:r>
      <w:r>
        <w:rPr>
          <w:rFonts w:hint="eastAsia" w:eastAsia="宋体"/>
          <w:lang w:val="en-US" w:eastAsia="zh-CN"/>
        </w:rPr>
        <w:t>38.331</w:t>
      </w:r>
      <w:r>
        <w:rPr>
          <w:rFonts w:hint="default" w:eastAsia="宋体"/>
          <w:lang w:val="en-US" w:eastAsia="zh-CN"/>
        </w:rPr>
        <w:t>-i</w:t>
      </w:r>
      <w:r>
        <w:rPr>
          <w:rFonts w:hint="eastAsia" w:eastAsia="宋体"/>
          <w:lang w:val="en-US" w:eastAsia="zh-CN"/>
        </w:rPr>
        <w:t>3</w:t>
      </w:r>
      <w:r>
        <w:rPr>
          <w:rFonts w:hint="default" w:eastAsia="宋体"/>
          <w:lang w:val="en-US" w:eastAsia="zh-CN"/>
        </w:rPr>
        <w:t>0#################</w:t>
      </w:r>
    </w:p>
    <w:p>
      <w:pPr>
        <w:pStyle w:val="71"/>
        <w:spacing w:after="0"/>
      </w:pPr>
      <w:r>
        <w:drawing>
          <wp:inline distT="0" distB="0" distL="114300" distR="114300">
            <wp:extent cx="5285105" cy="1466215"/>
            <wp:effectExtent l="0" t="0" r="10795" b="63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5"/>
                    <a:stretch>
                      <a:fillRect/>
                    </a:stretch>
                  </pic:blipFill>
                  <pic:spPr>
                    <a:xfrm>
                      <a:off x="0" y="0"/>
                      <a:ext cx="5285105" cy="1466215"/>
                    </a:xfrm>
                    <a:prstGeom prst="rect">
                      <a:avLst/>
                    </a:prstGeom>
                    <a:noFill/>
                    <a:ln>
                      <a:noFill/>
                    </a:ln>
                  </pic:spPr>
                </pic:pic>
              </a:graphicData>
            </a:graphic>
          </wp:inline>
        </w:drawing>
      </w:r>
    </w:p>
    <w:p>
      <w:pPr>
        <w:bidi w:val="0"/>
        <w:jc w:val="center"/>
        <w:rPr>
          <w:rFonts w:hint="default"/>
          <w:color w:val="FF0000"/>
          <w:lang w:val="en-US"/>
        </w:rPr>
      </w:pPr>
      <w:r>
        <w:rPr>
          <w:rFonts w:hint="default"/>
          <w:color w:val="FF0000"/>
          <w:lang w:val="en-US"/>
        </w:rPr>
        <w:t>&lt;skip unrelated content&gt;</w:t>
      </w:r>
    </w:p>
    <w:p>
      <w:pPr>
        <w:pStyle w:val="71"/>
        <w:spacing w:after="0"/>
        <w:rPr>
          <w:rFonts w:hint="default"/>
          <w:lang w:val="en-US" w:eastAsia="zh-CN"/>
        </w:rPr>
      </w:pPr>
      <w:r>
        <w:drawing>
          <wp:inline distT="0" distB="0" distL="114300" distR="114300">
            <wp:extent cx="6325870" cy="2293620"/>
            <wp:effectExtent l="0" t="0" r="17780" b="1143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6"/>
                    <a:stretch>
                      <a:fillRect/>
                    </a:stretch>
                  </pic:blipFill>
                  <pic:spPr>
                    <a:xfrm>
                      <a:off x="0" y="0"/>
                      <a:ext cx="6325870" cy="2293620"/>
                    </a:xfrm>
                    <a:prstGeom prst="rect">
                      <a:avLst/>
                    </a:prstGeom>
                    <a:noFill/>
                    <a:ln>
                      <a:noFill/>
                    </a:ln>
                  </pic:spPr>
                </pic:pic>
              </a:graphicData>
            </a:graphic>
          </wp:inline>
        </w:drawing>
      </w:r>
    </w:p>
    <w:p>
      <w:pPr>
        <w:jc w:val="center"/>
        <w:rPr>
          <w:rFonts w:hint="default" w:eastAsia="宋体"/>
          <w:lang w:val="en-US" w:eastAsia="zh-CN"/>
        </w:rPr>
      </w:pPr>
      <w:r>
        <w:rPr>
          <w:rFonts w:hint="default" w:eastAsia="宋体"/>
          <w:lang w:val="en-US" w:eastAsia="zh-CN"/>
        </w:rPr>
        <w:t xml:space="preserve">###########content in TS </w:t>
      </w:r>
      <w:r>
        <w:rPr>
          <w:rFonts w:hint="eastAsia" w:eastAsia="宋体"/>
          <w:lang w:val="en-US" w:eastAsia="zh-CN"/>
        </w:rPr>
        <w:t>38.331</w:t>
      </w:r>
      <w:r>
        <w:rPr>
          <w:rFonts w:hint="default" w:eastAsia="宋体"/>
          <w:lang w:val="en-US" w:eastAsia="zh-CN"/>
        </w:rPr>
        <w:t>-i</w:t>
      </w:r>
      <w:r>
        <w:rPr>
          <w:rFonts w:hint="eastAsia" w:eastAsia="宋体"/>
          <w:lang w:val="en-US" w:eastAsia="zh-CN"/>
        </w:rPr>
        <w:t>3</w:t>
      </w:r>
      <w:r>
        <w:rPr>
          <w:rFonts w:hint="default" w:eastAsia="宋体"/>
          <w:lang w:val="en-US" w:eastAsia="zh-CN"/>
        </w:rPr>
        <w:t>0#################</w:t>
      </w:r>
    </w:p>
    <w:p>
      <w:pPr>
        <w:pStyle w:val="71"/>
        <w:spacing w:after="0"/>
        <w:rPr>
          <w:rFonts w:hint="eastAsia" w:ascii="Times New Roman" w:hAnsi="Times New Roman" w:eastAsia="宋体"/>
          <w:sz w:val="20"/>
          <w:lang w:val="en-US" w:eastAsia="zh-CN"/>
        </w:rPr>
      </w:pPr>
      <w:r>
        <w:rPr>
          <w:rFonts w:hint="eastAsia" w:ascii="Times New Roman" w:hAnsi="Times New Roman" w:eastAsia="宋体"/>
          <w:sz w:val="20"/>
          <w:lang w:val="en-US" w:eastAsia="zh-CN"/>
        </w:rPr>
        <w:t>Above content shows the IEs(e.g.</w:t>
      </w:r>
      <w:bookmarkStart w:id="4" w:name="OLE_LINK3"/>
      <w:r>
        <w:rPr>
          <w:rFonts w:hint="eastAsia" w:ascii="Times New Roman" w:hAnsi="Times New Roman" w:eastAsia="宋体"/>
          <w:sz w:val="20"/>
          <w:lang w:val="en-US" w:eastAsia="zh-CN"/>
        </w:rPr>
        <w:t xml:space="preserve"> </w:t>
      </w:r>
      <w:r>
        <w:rPr>
          <w:rFonts w:hint="eastAsia" w:ascii="Times New Roman" w:hAnsi="Times New Roman" w:eastAsia="宋体"/>
          <w:i/>
          <w:iCs/>
          <w:sz w:val="20"/>
          <w:lang w:val="en-US" w:eastAsia="zh-CN"/>
        </w:rPr>
        <w:t xml:space="preserve">rrc-SegAllowedSRB4, </w:t>
      </w:r>
      <w:bookmarkStart w:id="5" w:name="OLE_LINK4"/>
      <w:r>
        <w:rPr>
          <w:rFonts w:hint="eastAsia" w:ascii="Times New Roman" w:hAnsi="Times New Roman" w:eastAsia="宋体"/>
          <w:i/>
          <w:iCs/>
          <w:sz w:val="20"/>
          <w:lang w:val="en-US" w:eastAsia="zh-CN"/>
        </w:rPr>
        <w:t>rrc-SegAllowedSRB5</w:t>
      </w:r>
      <w:bookmarkEnd w:id="4"/>
      <w:bookmarkEnd w:id="5"/>
      <w:r>
        <w:rPr>
          <w:rFonts w:hint="eastAsia" w:ascii="Times New Roman" w:hAnsi="Times New Roman" w:eastAsia="宋体"/>
          <w:sz w:val="20"/>
          <w:lang w:val="en-US" w:eastAsia="zh-CN"/>
        </w:rPr>
        <w:t xml:space="preserve">) defined for whether a UE can enable RRC segmentation for SRB4 and SRB5. It is clear that both of these two IEs are </w:t>
      </w:r>
      <w:r>
        <w:rPr>
          <w:rFonts w:hint="eastAsia" w:ascii="Times New Roman" w:hAnsi="Times New Roman" w:eastAsia="宋体"/>
          <w:b/>
          <w:bCs/>
          <w:sz w:val="20"/>
          <w:lang w:val="en-US" w:eastAsia="zh-CN"/>
        </w:rPr>
        <w:t>Need R</w:t>
      </w:r>
      <w:r>
        <w:rPr>
          <w:rFonts w:hint="eastAsia" w:ascii="Times New Roman" w:hAnsi="Times New Roman" w:eastAsia="宋体"/>
          <w:sz w:val="20"/>
          <w:lang w:val="en-US" w:eastAsia="zh-CN"/>
        </w:rPr>
        <w:t xml:space="preserve">, which means that UE can only apply the configuration in the last RRC message which may contain these IEs. </w:t>
      </w:r>
    </w:p>
    <w:p>
      <w:pPr>
        <w:pStyle w:val="71"/>
        <w:spacing w:after="0"/>
        <w:rPr>
          <w:rFonts w:hint="default" w:ascii="Times New Roman" w:hAnsi="Times New Roman" w:eastAsia="宋体"/>
          <w:b/>
          <w:bCs/>
          <w:i w:val="0"/>
          <w:iCs w:val="0"/>
          <w:sz w:val="20"/>
          <w:lang w:val="en-US" w:eastAsia="zh-CN"/>
        </w:rPr>
      </w:pPr>
      <w:r>
        <w:rPr>
          <w:rFonts w:hint="eastAsia" w:ascii="Times New Roman" w:hAnsi="Times New Roman" w:eastAsia="宋体"/>
          <w:b/>
          <w:bCs/>
          <w:sz w:val="20"/>
          <w:lang w:val="en-US" w:eastAsia="zh-CN"/>
        </w:rPr>
        <w:t xml:space="preserve">Observation </w:t>
      </w:r>
      <w:r>
        <w:rPr>
          <w:rFonts w:hint="default" w:ascii="Times New Roman" w:hAnsi="Times New Roman" w:eastAsia="宋体"/>
          <w:b/>
          <w:bCs/>
          <w:sz w:val="20"/>
          <w:lang w:val="en-US" w:eastAsia="zh-CN"/>
        </w:rPr>
        <w:t>6</w:t>
      </w:r>
      <w:r>
        <w:rPr>
          <w:rFonts w:hint="eastAsia" w:ascii="Times New Roman" w:hAnsi="Times New Roman" w:eastAsia="宋体"/>
          <w:b/>
          <w:bCs/>
          <w:sz w:val="20"/>
          <w:lang w:val="en-US" w:eastAsia="zh-CN"/>
        </w:rPr>
        <w:t xml:space="preserve">:  </w:t>
      </w:r>
      <w:r>
        <w:rPr>
          <w:rFonts w:hint="eastAsia" w:ascii="Times New Roman" w:hAnsi="Times New Roman" w:eastAsia="宋体"/>
          <w:b/>
          <w:bCs/>
          <w:i/>
          <w:iCs/>
          <w:sz w:val="20"/>
          <w:lang w:val="en-US" w:eastAsia="zh-CN"/>
        </w:rPr>
        <w:t xml:space="preserve">rrc-SegAllowedSRB4 and rrc-SegAllowedSRB5 </w:t>
      </w:r>
      <w:r>
        <w:rPr>
          <w:rFonts w:hint="eastAsia" w:ascii="Times New Roman" w:hAnsi="Times New Roman" w:eastAsia="宋体"/>
          <w:b/>
          <w:bCs/>
          <w:i w:val="0"/>
          <w:iCs w:val="0"/>
          <w:sz w:val="20"/>
          <w:lang w:val="en-US" w:eastAsia="zh-CN"/>
        </w:rPr>
        <w:t>are defined with Need R, which means,upon UE receiving a message with these fields absent, this UE shall release the current value.</w:t>
      </w:r>
    </w:p>
    <w:p>
      <w:pPr>
        <w:pStyle w:val="71"/>
        <w:spacing w:after="0"/>
        <w:rPr>
          <w:rFonts w:hint="eastAsia" w:ascii="Times New Roman" w:hAnsi="Times New Roman" w:eastAsia="宋体"/>
          <w:sz w:val="20"/>
          <w:lang w:val="en-US" w:eastAsia="zh-CN"/>
        </w:rPr>
      </w:pPr>
      <w:r>
        <w:rPr>
          <w:rFonts w:hint="eastAsia" w:ascii="Times New Roman" w:hAnsi="Times New Roman" w:eastAsia="宋体"/>
          <w:sz w:val="20"/>
          <w:lang w:val="en-US" w:eastAsia="zh-CN"/>
        </w:rPr>
        <w:t>By applying option 2, a non-QoE configured gNB can never know whether QoE configured gNB enable RRC segmentation for a specific UE or not. This may cause conflict configuration between MN and SN in following scenario:</w:t>
      </w:r>
    </w:p>
    <w:p>
      <w:pPr>
        <w:pStyle w:val="71"/>
        <w:numPr>
          <w:ilvl w:val="0"/>
          <w:numId w:val="2"/>
        </w:numPr>
        <w:spacing w:after="0"/>
        <w:ind w:firstLine="284" w:firstLineChars="0"/>
        <w:rPr>
          <w:rFonts w:hint="default" w:ascii="Times New Roman" w:hAnsi="Times New Roman" w:eastAsia="宋体"/>
          <w:sz w:val="20"/>
          <w:lang w:val="en-US" w:eastAsia="zh-CN"/>
        </w:rPr>
      </w:pPr>
      <w:r>
        <w:rPr>
          <w:rFonts w:hint="eastAsia" w:ascii="Times New Roman" w:hAnsi="Times New Roman" w:eastAsia="宋体"/>
          <w:sz w:val="20"/>
          <w:lang w:val="en-US" w:eastAsia="zh-CN"/>
        </w:rPr>
        <w:t>SN sends the QoE coordination information to MN.</w:t>
      </w:r>
    </w:p>
    <w:p>
      <w:pPr>
        <w:pStyle w:val="71"/>
        <w:numPr>
          <w:ilvl w:val="0"/>
          <w:numId w:val="2"/>
        </w:numPr>
        <w:spacing w:after="0"/>
        <w:ind w:firstLine="284" w:firstLineChars="0"/>
        <w:rPr>
          <w:rFonts w:hint="default" w:ascii="Times New Roman" w:hAnsi="Times New Roman" w:eastAsia="宋体"/>
          <w:sz w:val="20"/>
          <w:lang w:val="en-US" w:eastAsia="zh-CN"/>
        </w:rPr>
      </w:pPr>
      <w:r>
        <w:rPr>
          <w:rFonts w:hint="eastAsia" w:ascii="Times New Roman" w:hAnsi="Times New Roman" w:eastAsia="宋体"/>
          <w:sz w:val="20"/>
          <w:lang w:val="en-US" w:eastAsia="zh-CN"/>
        </w:rPr>
        <w:t>MN replies that this UE can enable RRC segmentation for SRB4.</w:t>
      </w:r>
    </w:p>
    <w:p>
      <w:pPr>
        <w:pStyle w:val="71"/>
        <w:numPr>
          <w:ilvl w:val="0"/>
          <w:numId w:val="2"/>
        </w:numPr>
        <w:spacing w:after="0"/>
        <w:ind w:firstLine="284" w:firstLineChars="0"/>
        <w:rPr>
          <w:rFonts w:hint="default" w:ascii="Times New Roman" w:hAnsi="Times New Roman" w:eastAsia="宋体"/>
          <w:sz w:val="20"/>
          <w:lang w:val="en-US" w:eastAsia="zh-CN"/>
        </w:rPr>
      </w:pPr>
      <w:r>
        <w:rPr>
          <w:rFonts w:hint="eastAsia" w:ascii="Times New Roman" w:hAnsi="Times New Roman" w:eastAsia="宋体"/>
          <w:sz w:val="20"/>
          <w:lang w:val="en-US" w:eastAsia="zh-CN"/>
        </w:rPr>
        <w:t>SN configures this QoE measurement with enabled RRC segmentation for both SRB4 and SRB5.</w:t>
      </w:r>
    </w:p>
    <w:p>
      <w:pPr>
        <w:pStyle w:val="71"/>
        <w:numPr>
          <w:ilvl w:val="0"/>
          <w:numId w:val="2"/>
        </w:numPr>
        <w:spacing w:after="0"/>
        <w:ind w:firstLine="284" w:firstLineChars="0"/>
        <w:rPr>
          <w:rFonts w:hint="default" w:ascii="Times New Roman" w:hAnsi="Times New Roman" w:eastAsia="宋体"/>
          <w:sz w:val="20"/>
          <w:lang w:val="en-US" w:eastAsia="zh-CN"/>
        </w:rPr>
      </w:pPr>
      <w:r>
        <w:rPr>
          <w:rFonts w:hint="eastAsia" w:ascii="Times New Roman" w:hAnsi="Times New Roman" w:eastAsia="宋体"/>
          <w:sz w:val="20"/>
          <w:lang w:val="en-US" w:eastAsia="zh-CN"/>
        </w:rPr>
        <w:t xml:space="preserve">MN prefers to further configure RVQoE for such QoE measurement. But at this moment, there is no way for MN to know whether SN enables RRC segmentation for SRB5. MN has to randomly select whether this configuration message shall contain </w:t>
      </w:r>
      <w:r>
        <w:rPr>
          <w:rFonts w:hint="eastAsia" w:ascii="Times New Roman" w:hAnsi="Times New Roman" w:eastAsia="宋体"/>
          <w:i/>
          <w:iCs/>
          <w:sz w:val="20"/>
          <w:lang w:val="en-US" w:eastAsia="zh-CN"/>
        </w:rPr>
        <w:t xml:space="preserve">rrc-SegAllowedSRB5 </w:t>
      </w:r>
      <w:r>
        <w:rPr>
          <w:rFonts w:hint="eastAsia" w:ascii="Times New Roman" w:hAnsi="Times New Roman" w:eastAsia="宋体"/>
          <w:sz w:val="20"/>
          <w:lang w:val="en-US" w:eastAsia="zh-CN"/>
        </w:rPr>
        <w:t>IE or not because of the Need R definition. Conflict configuration between SN and MN may occur at this time.</w:t>
      </w:r>
    </w:p>
    <w:p>
      <w:pPr>
        <w:pStyle w:val="71"/>
        <w:numPr>
          <w:ilvl w:val="0"/>
          <w:numId w:val="0"/>
        </w:numPr>
        <w:spacing w:after="0"/>
        <w:rPr>
          <w:rFonts w:hint="default" w:ascii="Times New Roman" w:hAnsi="Times New Roman" w:eastAsia="宋体"/>
          <w:sz w:val="20"/>
          <w:lang w:val="en-US" w:eastAsia="zh-CN"/>
        </w:rPr>
      </w:pPr>
    </w:p>
    <w:p>
      <w:pPr>
        <w:pStyle w:val="3"/>
        <w:bidi w:val="0"/>
        <w:rPr>
          <w:rFonts w:hint="default"/>
          <w:lang w:val="en-US" w:eastAsia="zh-CN"/>
        </w:rPr>
      </w:pPr>
      <w:r>
        <w:rPr>
          <w:rFonts w:hint="default"/>
          <w:lang w:val="en-US" w:eastAsia="zh-CN"/>
        </w:rPr>
        <w:t>3.3</w:t>
      </w:r>
      <w:r>
        <w:rPr>
          <w:rFonts w:hint="default"/>
          <w:lang w:val="en-US" w:eastAsia="zh-CN"/>
        </w:rPr>
        <w:tab/>
      </w:r>
      <w:r>
        <w:rPr>
          <w:rFonts w:hint="eastAsia"/>
          <w:lang w:val="en-US" w:eastAsia="zh-CN"/>
        </w:rPr>
        <w:t xml:space="preserve">How </w:t>
      </w:r>
      <w:r>
        <w:rPr>
          <w:rFonts w:hint="default"/>
          <w:lang w:val="en-US" w:eastAsia="zh-CN"/>
        </w:rPr>
        <w:t>modified option 2 OK:</w:t>
      </w:r>
    </w:p>
    <w:p>
      <w:pPr>
        <w:pStyle w:val="71"/>
        <w:spacing w:after="0"/>
        <w:rPr>
          <w:rFonts w:hint="eastAsia" w:ascii="Times New Roman" w:hAnsi="Times New Roman" w:eastAsia="宋体"/>
          <w:sz w:val="20"/>
          <w:lang w:val="en-US" w:eastAsia="zh-CN"/>
        </w:rPr>
      </w:pPr>
      <w:r>
        <w:rPr>
          <w:rFonts w:hint="eastAsia" w:ascii="Times New Roman" w:hAnsi="Times New Roman" w:eastAsia="宋体"/>
          <w:sz w:val="20"/>
          <w:lang w:val="en-US" w:eastAsia="zh-CN"/>
        </w:rPr>
        <w:t>To avoid the conflict configuration shown above, we prefer to let both gNBs report its status on whether RRC segmentation is enabled to their peer node. Lets also use the above example to show why this works.</w:t>
      </w:r>
    </w:p>
    <w:p>
      <w:pPr>
        <w:pStyle w:val="71"/>
        <w:numPr>
          <w:ilvl w:val="1"/>
          <w:numId w:val="2"/>
        </w:numPr>
        <w:spacing w:after="0"/>
        <w:ind w:left="840" w:leftChars="0" w:hanging="420" w:firstLineChars="0"/>
        <w:rPr>
          <w:rFonts w:hint="default" w:ascii="Times New Roman" w:hAnsi="Times New Roman" w:eastAsia="宋体"/>
          <w:sz w:val="20"/>
          <w:lang w:val="en-US" w:eastAsia="zh-CN"/>
        </w:rPr>
      </w:pPr>
      <w:r>
        <w:rPr>
          <w:rFonts w:hint="eastAsia" w:ascii="Times New Roman" w:hAnsi="Times New Roman" w:eastAsia="宋体"/>
          <w:sz w:val="20"/>
          <w:lang w:val="en-US" w:eastAsia="zh-CN"/>
        </w:rPr>
        <w:t>SN sends the QoE coordination information to MN with the enabled RRC segmentation for SRB5 info.</w:t>
      </w:r>
    </w:p>
    <w:p>
      <w:pPr>
        <w:pStyle w:val="71"/>
        <w:numPr>
          <w:ilvl w:val="1"/>
          <w:numId w:val="2"/>
        </w:numPr>
        <w:spacing w:after="0"/>
        <w:ind w:left="840" w:leftChars="0" w:hanging="420" w:firstLineChars="0"/>
        <w:rPr>
          <w:rFonts w:hint="default" w:ascii="Times New Roman" w:hAnsi="Times New Roman" w:eastAsia="宋体"/>
          <w:sz w:val="20"/>
          <w:lang w:val="en-US" w:eastAsia="zh-CN"/>
        </w:rPr>
      </w:pPr>
      <w:r>
        <w:rPr>
          <w:rFonts w:hint="eastAsia" w:ascii="Times New Roman" w:hAnsi="Times New Roman" w:eastAsia="宋体"/>
          <w:sz w:val="20"/>
          <w:lang w:val="en-US" w:eastAsia="zh-CN"/>
        </w:rPr>
        <w:t>MN replies that this UE can enable RRC segmentation for SRB4.Then both SN and MN knows UE can use RRC segmentation for both SRB4 and SRB5.</w:t>
      </w:r>
    </w:p>
    <w:p>
      <w:pPr>
        <w:pStyle w:val="71"/>
        <w:numPr>
          <w:ilvl w:val="1"/>
          <w:numId w:val="2"/>
        </w:numPr>
        <w:spacing w:after="0"/>
        <w:ind w:left="840" w:leftChars="0" w:hanging="420" w:firstLineChars="0"/>
        <w:rPr>
          <w:rFonts w:hint="default" w:ascii="Times New Roman" w:hAnsi="Times New Roman" w:eastAsia="宋体"/>
          <w:sz w:val="20"/>
          <w:lang w:val="en-US" w:eastAsia="zh-CN"/>
        </w:rPr>
      </w:pPr>
      <w:r>
        <w:rPr>
          <w:rFonts w:hint="eastAsia" w:ascii="Times New Roman" w:hAnsi="Times New Roman" w:eastAsia="宋体"/>
          <w:sz w:val="20"/>
          <w:lang w:val="en-US" w:eastAsia="zh-CN"/>
        </w:rPr>
        <w:t>SN configures this QoE measurement with enabled RRC segmentation for both SRB4 and SRB5.</w:t>
      </w:r>
    </w:p>
    <w:p>
      <w:pPr>
        <w:pStyle w:val="71"/>
        <w:numPr>
          <w:ilvl w:val="1"/>
          <w:numId w:val="2"/>
        </w:numPr>
        <w:spacing w:after="0"/>
        <w:ind w:left="840" w:leftChars="0" w:hanging="420" w:firstLineChars="0"/>
        <w:rPr>
          <w:rFonts w:hint="default" w:ascii="Times New Roman" w:hAnsi="Times New Roman" w:eastAsia="宋体"/>
          <w:sz w:val="20"/>
          <w:lang w:val="en-US" w:eastAsia="zh-CN"/>
        </w:rPr>
      </w:pPr>
      <w:r>
        <w:rPr>
          <w:rFonts w:hint="eastAsia" w:ascii="Times New Roman" w:hAnsi="Times New Roman" w:eastAsia="宋体"/>
          <w:sz w:val="20"/>
          <w:lang w:val="en-US" w:eastAsia="zh-CN"/>
        </w:rPr>
        <w:t xml:space="preserve">MN prefers to further configure RVQoE for such QoE measurement. Then MN sends the RVQoE configuration to UE with both </w:t>
      </w:r>
      <w:r>
        <w:rPr>
          <w:rFonts w:hint="eastAsia" w:ascii="Times New Roman" w:hAnsi="Times New Roman" w:eastAsia="宋体"/>
          <w:i/>
          <w:iCs/>
          <w:sz w:val="20"/>
          <w:lang w:val="en-US" w:eastAsia="zh-CN"/>
        </w:rPr>
        <w:t xml:space="preserve">rrc-SegAllowedSRB4 </w:t>
      </w:r>
      <w:r>
        <w:rPr>
          <w:rFonts w:hint="eastAsia" w:ascii="Times New Roman" w:hAnsi="Times New Roman" w:eastAsia="宋体"/>
          <w:i w:val="0"/>
          <w:iCs w:val="0"/>
          <w:sz w:val="20"/>
          <w:lang w:val="en-US" w:eastAsia="zh-CN"/>
        </w:rPr>
        <w:t xml:space="preserve">and </w:t>
      </w:r>
      <w:r>
        <w:rPr>
          <w:rFonts w:hint="eastAsia" w:ascii="Times New Roman" w:hAnsi="Times New Roman" w:eastAsia="宋体"/>
          <w:i/>
          <w:iCs/>
          <w:sz w:val="20"/>
          <w:lang w:val="en-US" w:eastAsia="zh-CN"/>
        </w:rPr>
        <w:t>rrc-SegAllowedSRB5.</w:t>
      </w:r>
    </w:p>
    <w:p>
      <w:pPr>
        <w:pStyle w:val="71"/>
        <w:spacing w:after="0"/>
        <w:rPr>
          <w:rFonts w:hint="default" w:ascii="Times New Roman" w:hAnsi="Times New Roman" w:eastAsia="宋体"/>
          <w:b/>
          <w:bCs/>
          <w:sz w:val="20"/>
          <w:lang w:val="en-US" w:eastAsia="zh-CN"/>
        </w:rPr>
      </w:pPr>
      <w:r>
        <w:rPr>
          <w:rFonts w:hint="eastAsia" w:ascii="Times New Roman" w:hAnsi="Times New Roman" w:eastAsia="宋体"/>
          <w:b/>
          <w:bCs/>
          <w:sz w:val="20"/>
          <w:lang w:val="en-US" w:eastAsia="zh-CN"/>
        </w:rPr>
        <w:t xml:space="preserve">Proposal 1: </w:t>
      </w:r>
      <w:r>
        <w:rPr>
          <w:rFonts w:hint="default" w:ascii="Times New Roman" w:hAnsi="Times New Roman" w:eastAsia="宋体"/>
          <w:b/>
          <w:bCs/>
          <w:sz w:val="20"/>
          <w:lang w:val="en-US" w:eastAsia="zh-CN"/>
        </w:rPr>
        <w:t xml:space="preserve">Either MN or SN may report </w:t>
      </w:r>
      <w:r>
        <w:rPr>
          <w:rFonts w:hint="eastAsia" w:ascii="Times New Roman" w:hAnsi="Times New Roman" w:eastAsia="宋体"/>
          <w:b/>
          <w:bCs/>
          <w:sz w:val="20"/>
          <w:lang w:val="en-US" w:eastAsia="zh-CN"/>
        </w:rPr>
        <w:t xml:space="preserve">to its peer node </w:t>
      </w:r>
      <w:r>
        <w:rPr>
          <w:rFonts w:hint="default" w:ascii="Times New Roman" w:hAnsi="Times New Roman" w:eastAsia="宋体"/>
          <w:b/>
          <w:bCs/>
          <w:sz w:val="20"/>
          <w:lang w:val="en-US" w:eastAsia="zh-CN"/>
        </w:rPr>
        <w:t xml:space="preserve">whether it enables RRC segmentation for QoE report in QoE coordination procedure in NRDC scenario. </w:t>
      </w:r>
    </w:p>
    <w:p>
      <w:pPr>
        <w:pStyle w:val="71"/>
        <w:spacing w:after="0"/>
        <w:rPr>
          <w:rFonts w:hint="default" w:ascii="Times New Roman" w:hAnsi="Times New Roman" w:eastAsia="宋体"/>
          <w:sz w:val="20"/>
          <w:lang w:val="en-US" w:eastAsia="zh-CN"/>
        </w:rPr>
      </w:pPr>
    </w:p>
    <w:p>
      <w:pPr>
        <w:numPr>
          <w:ilvl w:val="0"/>
          <w:numId w:val="0"/>
        </w:numPr>
        <w:bidi w:val="0"/>
        <w:rPr>
          <w:rFonts w:hint="eastAsia" w:eastAsia="等线" w:cs="Arial"/>
          <w:b w:val="0"/>
          <w:bCs w:val="0"/>
          <w:lang w:val="en-US" w:eastAsia="zh-CN"/>
        </w:rPr>
      </w:pPr>
      <w:r>
        <w:rPr>
          <w:rFonts w:hint="eastAsia"/>
          <w:lang w:val="en-US" w:eastAsia="zh-CN"/>
        </w:rPr>
        <w:t xml:space="preserve">Based on the proposal 1, at least one new IE may be introduced in both QMC Coordination Request and QMC Coordination Response, which is used to show whether RRC segmentation for its relevant SRB is enabled. Then, we may further discuss on whether 1 code point(e.g. enable) or 2 code points(e.g. </w:t>
      </w:r>
      <w:r>
        <w:rPr>
          <w:rFonts w:hint="default"/>
          <w:lang w:val="en-US" w:eastAsia="zh-CN"/>
        </w:rPr>
        <w:t>enabled</w:t>
      </w:r>
      <w:r>
        <w:rPr>
          <w:rFonts w:hint="eastAsia"/>
          <w:lang w:val="en-US" w:eastAsia="zh-CN"/>
        </w:rPr>
        <w:t xml:space="preserve">, </w:t>
      </w:r>
      <w:r>
        <w:rPr>
          <w:rFonts w:hint="default"/>
          <w:lang w:val="en-US" w:eastAsia="zh-CN"/>
        </w:rPr>
        <w:t>disabled</w:t>
      </w:r>
      <w:r>
        <w:rPr>
          <w:rFonts w:hint="eastAsia"/>
          <w:lang w:val="en-US" w:eastAsia="zh-CN"/>
        </w:rPr>
        <w:t xml:space="preserve">) may be applied for this IE. Based on the RAN2 defined IEs shown above, it seems that for it is possible for RAN to change RRC segmentation status in some cases. From this point of view, we slightly prefer to introduce both </w:t>
      </w:r>
      <w:r>
        <w:rPr>
          <w:rFonts w:hint="default"/>
          <w:lang w:val="en-US" w:eastAsia="zh-CN"/>
        </w:rPr>
        <w:t xml:space="preserve">enabled </w:t>
      </w:r>
      <w:r>
        <w:rPr>
          <w:rFonts w:hint="eastAsia"/>
          <w:lang w:val="en-US" w:eastAsia="zh-CN"/>
        </w:rPr>
        <w:t xml:space="preserve">and </w:t>
      </w:r>
      <w:r>
        <w:rPr>
          <w:rFonts w:hint="default"/>
          <w:lang w:val="en-US" w:eastAsia="zh-CN"/>
        </w:rPr>
        <w:t xml:space="preserve">disabled </w:t>
      </w:r>
      <w:r>
        <w:rPr>
          <w:rFonts w:hint="eastAsia"/>
          <w:lang w:val="en-US" w:eastAsia="zh-CN"/>
        </w:rPr>
        <w:t>codepoint for new introduce</w:t>
      </w:r>
      <w:r>
        <w:rPr>
          <w:rFonts w:hint="eastAsia"/>
          <w:b w:val="0"/>
          <w:bCs w:val="0"/>
          <w:lang w:val="en-US" w:eastAsia="zh-CN"/>
        </w:rPr>
        <w:t xml:space="preserve">d </w:t>
      </w:r>
      <w:r>
        <w:rPr>
          <w:rFonts w:eastAsia="等线" w:cs="Arial"/>
          <w:b w:val="0"/>
          <w:bCs w:val="0"/>
          <w:lang w:eastAsia="ja-JP"/>
        </w:rPr>
        <w:t>RRC Segmentation Allowed</w:t>
      </w:r>
      <w:r>
        <w:rPr>
          <w:rFonts w:hint="eastAsia" w:eastAsia="等线" w:cs="Arial"/>
          <w:b w:val="0"/>
          <w:bCs w:val="0"/>
          <w:lang w:val="en-US" w:eastAsia="zh-CN"/>
        </w:rPr>
        <w:t xml:space="preserve"> IE and capture this modification in the related CRs for both TS 38.423 and TS 37.340. </w:t>
      </w:r>
    </w:p>
    <w:tbl>
      <w:tblPr>
        <w:tblStyle w:val="31"/>
        <w:tblW w:w="969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2"/>
        <w:gridCol w:w="992"/>
        <w:gridCol w:w="992"/>
        <w:gridCol w:w="1559"/>
        <w:gridCol w:w="2552"/>
        <w:gridCol w:w="709"/>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82" w:type="dxa"/>
            <w:tcBorders>
              <w:top w:val="single" w:color="auto" w:sz="4" w:space="0"/>
              <w:left w:val="single" w:color="auto" w:sz="4" w:space="0"/>
              <w:bottom w:val="single" w:color="auto" w:sz="4" w:space="0"/>
              <w:right w:val="single" w:color="auto" w:sz="4" w:space="0"/>
            </w:tcBorders>
          </w:tcPr>
          <w:p>
            <w:pPr>
              <w:pStyle w:val="43"/>
              <w:keepNext w:val="0"/>
              <w:keepLines w:val="0"/>
              <w:widowControl w:val="0"/>
            </w:pPr>
            <w:r>
              <w:t>IE/Group Name</w:t>
            </w:r>
          </w:p>
        </w:tc>
        <w:tc>
          <w:tcPr>
            <w:tcW w:w="992" w:type="dxa"/>
            <w:tcBorders>
              <w:top w:val="single" w:color="auto" w:sz="4" w:space="0"/>
              <w:left w:val="single" w:color="auto" w:sz="4" w:space="0"/>
              <w:bottom w:val="single" w:color="auto" w:sz="4" w:space="0"/>
              <w:right w:val="single" w:color="auto" w:sz="4" w:space="0"/>
            </w:tcBorders>
          </w:tcPr>
          <w:p>
            <w:pPr>
              <w:pStyle w:val="43"/>
              <w:keepNext w:val="0"/>
              <w:keepLines w:val="0"/>
              <w:widowControl w:val="0"/>
            </w:pPr>
            <w:r>
              <w:t>Presence</w:t>
            </w:r>
          </w:p>
        </w:tc>
        <w:tc>
          <w:tcPr>
            <w:tcW w:w="992" w:type="dxa"/>
            <w:tcBorders>
              <w:top w:val="single" w:color="auto" w:sz="4" w:space="0"/>
              <w:left w:val="single" w:color="auto" w:sz="4" w:space="0"/>
              <w:bottom w:val="single" w:color="auto" w:sz="4" w:space="0"/>
              <w:right w:val="single" w:color="auto" w:sz="4" w:space="0"/>
            </w:tcBorders>
          </w:tcPr>
          <w:p>
            <w:pPr>
              <w:pStyle w:val="43"/>
              <w:keepNext w:val="0"/>
              <w:keepLines w:val="0"/>
              <w:widowControl w:val="0"/>
            </w:pPr>
            <w:r>
              <w:t>Range</w:t>
            </w:r>
          </w:p>
        </w:tc>
        <w:tc>
          <w:tcPr>
            <w:tcW w:w="1559" w:type="dxa"/>
            <w:tcBorders>
              <w:top w:val="single" w:color="auto" w:sz="4" w:space="0"/>
              <w:left w:val="single" w:color="auto" w:sz="4" w:space="0"/>
              <w:bottom w:val="single" w:color="auto" w:sz="4" w:space="0"/>
              <w:right w:val="single" w:color="auto" w:sz="4" w:space="0"/>
            </w:tcBorders>
          </w:tcPr>
          <w:p>
            <w:pPr>
              <w:pStyle w:val="43"/>
              <w:keepNext w:val="0"/>
              <w:keepLines w:val="0"/>
              <w:widowControl w:val="0"/>
            </w:pPr>
            <w:r>
              <w:t>IE type and reference</w:t>
            </w:r>
          </w:p>
        </w:tc>
        <w:tc>
          <w:tcPr>
            <w:tcW w:w="2552" w:type="dxa"/>
            <w:tcBorders>
              <w:top w:val="single" w:color="auto" w:sz="4" w:space="0"/>
              <w:left w:val="single" w:color="auto" w:sz="4" w:space="0"/>
              <w:bottom w:val="single" w:color="auto" w:sz="4" w:space="0"/>
              <w:right w:val="single" w:color="auto" w:sz="4" w:space="0"/>
            </w:tcBorders>
          </w:tcPr>
          <w:p>
            <w:pPr>
              <w:pStyle w:val="43"/>
              <w:keepNext w:val="0"/>
              <w:keepLines w:val="0"/>
              <w:widowControl w:val="0"/>
            </w:pPr>
            <w:r>
              <w:t>Semantics description</w:t>
            </w:r>
          </w:p>
        </w:tc>
        <w:tc>
          <w:tcPr>
            <w:tcW w:w="709" w:type="dxa"/>
            <w:tcBorders>
              <w:top w:val="single" w:color="auto" w:sz="4" w:space="0"/>
              <w:left w:val="single" w:color="auto" w:sz="4" w:space="0"/>
              <w:bottom w:val="single" w:color="auto" w:sz="4" w:space="0"/>
              <w:right w:val="single" w:color="auto" w:sz="4" w:space="0"/>
            </w:tcBorders>
          </w:tcPr>
          <w:p>
            <w:pPr>
              <w:pStyle w:val="43"/>
              <w:keepNext w:val="0"/>
              <w:keepLines w:val="0"/>
              <w:widowControl w:val="0"/>
            </w:pPr>
            <w:r>
              <w:rPr>
                <w:lang w:eastAsia="ja-JP"/>
              </w:rPr>
              <w:t>Criticality</w:t>
            </w:r>
          </w:p>
        </w:tc>
        <w:tc>
          <w:tcPr>
            <w:tcW w:w="708" w:type="dxa"/>
            <w:tcBorders>
              <w:top w:val="single" w:color="auto" w:sz="4" w:space="0"/>
              <w:left w:val="single" w:color="auto" w:sz="4" w:space="0"/>
              <w:bottom w:val="single" w:color="auto" w:sz="4" w:space="0"/>
              <w:right w:val="single" w:color="auto" w:sz="4" w:space="0"/>
            </w:tcBorders>
          </w:tcPr>
          <w:p>
            <w:pPr>
              <w:pStyle w:val="43"/>
              <w:keepNext w:val="0"/>
              <w:keepLines w:val="0"/>
              <w:widowControl w:val="0"/>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82" w:type="dxa"/>
            <w:vAlign w:val="top"/>
          </w:tcPr>
          <w:p>
            <w:pPr>
              <w:pStyle w:val="42"/>
              <w:keepNext w:val="0"/>
              <w:keepLines w:val="0"/>
              <w:widowControl w:val="0"/>
              <w:rPr>
                <w:rFonts w:ascii="Arial" w:hAnsi="Arial" w:eastAsia="等线" w:cs="Arial"/>
                <w:bCs/>
                <w:sz w:val="18"/>
                <w:lang w:val="en-GB" w:eastAsia="ja-JP" w:bidi="ar-SA"/>
              </w:rPr>
            </w:pPr>
            <w:r>
              <w:rPr>
                <w:rFonts w:eastAsia="等线" w:cs="Arial"/>
                <w:lang w:eastAsia="ja-JP"/>
              </w:rPr>
              <w:t>RRC Segmentation Allowed</w:t>
            </w:r>
          </w:p>
        </w:tc>
        <w:tc>
          <w:tcPr>
            <w:tcW w:w="992" w:type="dxa"/>
            <w:vAlign w:val="top"/>
          </w:tcPr>
          <w:p>
            <w:pPr>
              <w:pStyle w:val="42"/>
              <w:keepNext w:val="0"/>
              <w:keepLines w:val="0"/>
              <w:widowControl w:val="0"/>
              <w:rPr>
                <w:rFonts w:ascii="Arial" w:hAnsi="Arial" w:cs="Times New Roman" w:eastAsiaTheme="minorEastAsia"/>
                <w:sz w:val="18"/>
                <w:lang w:val="en-GB" w:eastAsia="en-US" w:bidi="ar-SA"/>
              </w:rPr>
            </w:pPr>
            <w:r>
              <w:rPr>
                <w:rFonts w:hint="default"/>
                <w:lang w:val="en-US"/>
              </w:rPr>
              <w:t>O</w:t>
            </w:r>
          </w:p>
        </w:tc>
        <w:tc>
          <w:tcPr>
            <w:tcW w:w="992" w:type="dxa"/>
            <w:vAlign w:val="top"/>
          </w:tcPr>
          <w:p>
            <w:pPr>
              <w:pStyle w:val="42"/>
              <w:keepNext w:val="0"/>
              <w:keepLines w:val="0"/>
              <w:widowControl w:val="0"/>
              <w:rPr>
                <w:rFonts w:ascii="Arial" w:hAnsi="Arial" w:cs="Arial" w:eastAsiaTheme="minorEastAsia"/>
                <w:bCs/>
                <w:sz w:val="18"/>
                <w:lang w:val="en-GB" w:eastAsia="en-US" w:bidi="ar-SA"/>
              </w:rPr>
            </w:pPr>
          </w:p>
        </w:tc>
        <w:tc>
          <w:tcPr>
            <w:tcW w:w="1559" w:type="dxa"/>
            <w:vAlign w:val="top"/>
          </w:tcPr>
          <w:p>
            <w:pPr>
              <w:pStyle w:val="42"/>
              <w:keepNext w:val="0"/>
              <w:keepLines w:val="0"/>
              <w:widowControl w:val="0"/>
              <w:rPr>
                <w:rFonts w:ascii="Arial" w:hAnsi="Arial" w:eastAsia="等线" w:cs="Times New Roman"/>
                <w:sz w:val="18"/>
                <w:lang w:val="en-GB" w:eastAsia="en-US" w:bidi="ar-SA"/>
              </w:rPr>
            </w:pPr>
            <w:r>
              <w:t>ENUMERATED (</w:t>
            </w:r>
            <w:r>
              <w:rPr>
                <w:rFonts w:hint="default"/>
                <w:lang w:val="en-US"/>
              </w:rPr>
              <w:t>enabled</w:t>
            </w:r>
            <w:r>
              <w:t>,</w:t>
            </w:r>
            <w:r>
              <w:rPr>
                <w:rFonts w:hint="default"/>
                <w:lang w:val="en-US"/>
              </w:rPr>
              <w:t xml:space="preserve"> disabled,</w:t>
            </w:r>
            <w:r>
              <w:t xml:space="preserve"> …)</w:t>
            </w:r>
          </w:p>
        </w:tc>
        <w:tc>
          <w:tcPr>
            <w:tcW w:w="2552" w:type="dxa"/>
            <w:vAlign w:val="top"/>
          </w:tcPr>
          <w:p>
            <w:pPr>
              <w:pStyle w:val="42"/>
              <w:keepNext w:val="0"/>
              <w:keepLines w:val="0"/>
              <w:widowControl w:val="0"/>
              <w:rPr>
                <w:rFonts w:hint="default"/>
                <w:lang w:val="en-US" w:eastAsia="en-US"/>
              </w:rPr>
            </w:pPr>
            <w:r>
              <w:rPr>
                <w:rFonts w:hint="default"/>
                <w:lang w:val="en-US"/>
              </w:rPr>
              <w:t xml:space="preserve">This IE is used to indicate that MN providing the QMC Coordination Request with segmentation decision of </w:t>
            </w:r>
            <w:r>
              <w:rPr>
                <w:i/>
                <w:iCs/>
              </w:rPr>
              <w:t>MeasurementReportAppLayer</w:t>
            </w:r>
            <w:r>
              <w:t xml:space="preserve"> RRC messages </w:t>
            </w:r>
            <w:r>
              <w:rPr>
                <w:rFonts w:hint="default"/>
                <w:lang w:val="en-US"/>
              </w:rPr>
              <w:t xml:space="preserve">for SRB4 </w:t>
            </w:r>
            <w:r>
              <w:rPr>
                <w:rFonts w:cs="Arial"/>
                <w:szCs w:val="18"/>
                <w:lang w:val="en-US" w:eastAsia="zh-CN"/>
              </w:rPr>
              <w:t>defined in TS 38.331 [10]</w:t>
            </w:r>
            <w:r>
              <w:rPr>
                <w:rFonts w:hint="default" w:cs="Arial"/>
                <w:szCs w:val="18"/>
                <w:lang w:val="en-US" w:eastAsia="zh-CN"/>
              </w:rPr>
              <w:t xml:space="preserve"> or is used to indicate that SN providing the QMC Coordination </w:t>
            </w:r>
            <w:r>
              <w:rPr>
                <w:rFonts w:hint="default"/>
                <w:lang w:val="en-US"/>
              </w:rPr>
              <w:t xml:space="preserve">Request with segmentation decision </w:t>
            </w:r>
            <w:r>
              <w:rPr>
                <w:rFonts w:hint="default" w:cs="Arial"/>
                <w:szCs w:val="18"/>
                <w:lang w:val="en-US" w:eastAsia="zh-CN"/>
              </w:rPr>
              <w:t xml:space="preserve">of </w:t>
            </w:r>
            <w:r>
              <w:rPr>
                <w:i/>
                <w:iCs/>
              </w:rPr>
              <w:t>MeasurementReportAppLayer</w:t>
            </w:r>
            <w:r>
              <w:t xml:space="preserve"> RRC messages </w:t>
            </w:r>
            <w:r>
              <w:rPr>
                <w:rFonts w:hint="default"/>
                <w:lang w:val="en-US"/>
              </w:rPr>
              <w:t xml:space="preserve">for SRB5 </w:t>
            </w:r>
            <w:r>
              <w:rPr>
                <w:rFonts w:cs="Arial"/>
                <w:szCs w:val="18"/>
                <w:lang w:val="en-US" w:eastAsia="zh-CN"/>
              </w:rPr>
              <w:t>defined in TS 38.331 [10]</w:t>
            </w:r>
            <w:r>
              <w:rPr>
                <w:rFonts w:hint="default" w:cs="Arial"/>
                <w:szCs w:val="18"/>
                <w:lang w:val="en-US" w:eastAsia="zh-CN"/>
              </w:rPr>
              <w:t>.</w:t>
            </w:r>
          </w:p>
        </w:tc>
        <w:tc>
          <w:tcPr>
            <w:tcW w:w="709" w:type="dxa"/>
          </w:tcPr>
          <w:p>
            <w:pPr>
              <w:pStyle w:val="43"/>
              <w:keepNext w:val="0"/>
              <w:keepLines w:val="0"/>
              <w:widowControl w:val="0"/>
              <w:rPr>
                <w:b w:val="0"/>
                <w:bCs/>
              </w:rPr>
            </w:pPr>
            <w:r>
              <w:rPr>
                <w:b w:val="0"/>
                <w:bCs/>
              </w:rPr>
              <w:t>YES</w:t>
            </w:r>
          </w:p>
        </w:tc>
        <w:tc>
          <w:tcPr>
            <w:tcW w:w="708" w:type="dxa"/>
          </w:tcPr>
          <w:p>
            <w:pPr>
              <w:pStyle w:val="43"/>
              <w:keepNext w:val="0"/>
              <w:keepLines w:val="0"/>
              <w:widowControl w:val="0"/>
              <w:rPr>
                <w:b w:val="0"/>
                <w:bCs/>
              </w:rPr>
            </w:pPr>
            <w:r>
              <w:rPr>
                <w:b w:val="0"/>
                <w:bCs/>
              </w:rPr>
              <w:t>ignore</w:t>
            </w:r>
          </w:p>
        </w:tc>
      </w:tr>
    </w:tbl>
    <w:p>
      <w:pPr>
        <w:numPr>
          <w:ilvl w:val="0"/>
          <w:numId w:val="0"/>
        </w:numPr>
        <w:bidi w:val="0"/>
        <w:rPr>
          <w:rFonts w:hint="eastAsia" w:eastAsia="等线" w:cs="Arial"/>
          <w:b w:val="0"/>
          <w:bCs w:val="0"/>
          <w:lang w:val="en-US" w:eastAsia="zh-CN"/>
        </w:rPr>
      </w:pPr>
    </w:p>
    <w:p>
      <w:pPr>
        <w:numPr>
          <w:ilvl w:val="0"/>
          <w:numId w:val="0"/>
        </w:numPr>
        <w:bidi w:val="0"/>
        <w:rPr>
          <w:rFonts w:hint="default" w:eastAsia="等线" w:cs="Arial"/>
          <w:b/>
          <w:bCs/>
          <w:lang w:val="en-US" w:eastAsia="zh-CN"/>
        </w:rPr>
      </w:pPr>
      <w:r>
        <w:rPr>
          <w:rFonts w:hint="eastAsia" w:eastAsia="等线" w:cs="Arial"/>
          <w:b/>
          <w:bCs/>
          <w:lang w:val="en-US" w:eastAsia="zh-CN"/>
        </w:rPr>
        <w:t>Proposal 2</w:t>
      </w:r>
      <w:r>
        <w:rPr>
          <w:rFonts w:hint="default" w:eastAsia="等线" w:cs="Arial"/>
          <w:b/>
          <w:bCs/>
          <w:lang w:val="en-US" w:eastAsia="zh-CN"/>
        </w:rPr>
        <w:t>: Introduce RRC Segmentation Allowed IE with code points enabled and disabled in QMC Coordination Request and QMC Coordination Response.</w:t>
      </w:r>
    </w:p>
    <w:p>
      <w:pPr>
        <w:numPr>
          <w:ilvl w:val="0"/>
          <w:numId w:val="0"/>
        </w:numPr>
        <w:bidi w:val="0"/>
        <w:rPr>
          <w:rFonts w:hint="default" w:eastAsia="等线" w:cs="Arial"/>
          <w:b/>
          <w:bCs/>
          <w:highlight w:val="cyan"/>
          <w:lang w:val="en-US" w:eastAsia="zh-CN"/>
        </w:rPr>
      </w:pPr>
      <w:r>
        <w:rPr>
          <w:rFonts w:hint="default" w:eastAsia="等线" w:cs="Arial"/>
          <w:b/>
          <w:bCs/>
          <w:lang w:val="en-US" w:eastAsia="zh-CN"/>
        </w:rPr>
        <w:t xml:space="preserve">Proposal 3: Capture the modification on RRC segmentation in NRDC by using CRs </w:t>
      </w:r>
      <w:r>
        <w:rPr>
          <w:rFonts w:hint="eastAsia" w:eastAsia="等线" w:cs="Arial"/>
          <w:b/>
          <w:bCs/>
          <w:lang w:val="en-US" w:eastAsia="zh-CN"/>
        </w:rPr>
        <w:t>in other contributi</w:t>
      </w:r>
      <w:r>
        <w:rPr>
          <w:rFonts w:hint="eastAsia" w:eastAsia="等线" w:cs="Arial"/>
          <w:b/>
          <w:bCs/>
          <w:highlight w:val="none"/>
          <w:lang w:val="en-US" w:eastAsia="zh-CN"/>
        </w:rPr>
        <w:t>ons</w:t>
      </w:r>
      <w:r>
        <w:rPr>
          <w:rFonts w:hint="default" w:eastAsia="等线" w:cs="Arial"/>
          <w:b/>
          <w:bCs/>
          <w:highlight w:val="none"/>
          <w:lang w:val="en-US" w:eastAsia="zh-CN"/>
        </w:rPr>
        <w:t>.</w:t>
      </w:r>
    </w:p>
    <w:p>
      <w:pPr>
        <w:pStyle w:val="71"/>
        <w:spacing w:after="0"/>
        <w:rPr>
          <w:rFonts w:ascii="Times New Roman" w:hAnsi="Times New Roman"/>
          <w:sz w:val="20"/>
          <w:lang w:val="en-GB"/>
        </w:rPr>
      </w:pPr>
    </w:p>
    <w:p>
      <w:pPr>
        <w:pStyle w:val="2"/>
      </w:pPr>
      <w:r>
        <w:t>3</w:t>
      </w:r>
      <w:r>
        <w:tab/>
      </w:r>
      <w:r>
        <w:t>Conclusion</w:t>
      </w:r>
    </w:p>
    <w:p>
      <w:r>
        <w:t>We have made the following proposals</w:t>
      </w:r>
      <w:r>
        <w:rPr>
          <w:rFonts w:hint="default"/>
          <w:lang w:val="en-US"/>
        </w:rPr>
        <w:t xml:space="preserve"> and observations</w:t>
      </w:r>
      <w:r>
        <w:t>:</w:t>
      </w:r>
    </w:p>
    <w:p>
      <w:pPr>
        <w:rPr>
          <w:rFonts w:hint="eastAsia"/>
          <w:b/>
          <w:bCs/>
        </w:rPr>
      </w:pPr>
      <w:r>
        <w:rPr>
          <w:rFonts w:hint="eastAsia"/>
          <w:b/>
          <w:bCs/>
        </w:rPr>
        <w:t>Observation 1: Based on the current definition of /&lt;X&gt;/SamplePercentage, it is possible that even though UE starts a QoE session, without further configuration from NW, UE may not report any QoE measurement data.</w:t>
      </w:r>
    </w:p>
    <w:p>
      <w:pPr>
        <w:rPr>
          <w:rFonts w:hint="eastAsia"/>
          <w:b/>
          <w:bCs/>
        </w:rPr>
      </w:pPr>
      <w:r>
        <w:rPr>
          <w:rFonts w:hint="eastAsia"/>
          <w:b/>
          <w:bCs/>
        </w:rPr>
        <w:t>Observation 2: Based on the current definition of /&lt;X&gt;/Duration and /&lt;X&gt;/StartTime, it is possible that UE may only report QoE measurement data in part of ongoing QoE sessions.</w:t>
      </w:r>
    </w:p>
    <w:p>
      <w:pPr>
        <w:rPr>
          <w:rFonts w:hint="eastAsia"/>
          <w:b/>
          <w:bCs/>
        </w:rPr>
      </w:pPr>
      <w:r>
        <w:rPr>
          <w:rFonts w:hint="eastAsia"/>
          <w:b/>
          <w:bCs/>
        </w:rPr>
        <w:t>Observation 3: If a QoE report size is larger than the maximum supported size of one PDCP SDU defined in current spec, without RRC segmentation, UE will directly discard this report.</w:t>
      </w:r>
    </w:p>
    <w:p>
      <w:pPr>
        <w:rPr>
          <w:rFonts w:hint="eastAsia"/>
          <w:b/>
          <w:bCs/>
        </w:rPr>
      </w:pPr>
      <w:r>
        <w:rPr>
          <w:rFonts w:hint="eastAsia"/>
          <w:b/>
          <w:bCs/>
        </w:rPr>
        <w:t>Observation 4: A gNB itself is the best element to knows its own status. There is no explicit benefit for a gNB to be advised by its peer node for RRC segmentation.</w:t>
      </w:r>
    </w:p>
    <w:p>
      <w:pPr>
        <w:rPr>
          <w:rFonts w:hint="eastAsia"/>
          <w:b/>
          <w:bCs/>
        </w:rPr>
      </w:pPr>
      <w:r>
        <w:rPr>
          <w:rFonts w:hint="eastAsia"/>
          <w:b/>
          <w:bCs/>
        </w:rPr>
        <w:t xml:space="preserve">Observation 5: A gNB does not have clearly view on why a UE does not send QoE report in a period with ongoing QoE session. </w:t>
      </w:r>
    </w:p>
    <w:p>
      <w:pPr>
        <w:rPr>
          <w:rFonts w:hint="eastAsia"/>
          <w:b/>
          <w:bCs/>
        </w:rPr>
      </w:pPr>
      <w:r>
        <w:rPr>
          <w:rFonts w:hint="eastAsia"/>
          <w:b/>
          <w:bCs/>
        </w:rPr>
        <w:t>Observation 6:  rrc-SegAllowedSRB4 and rrc-SegAllowedSRB5 are defined with Need R, which means,upon UE receiving a message with these fields absent, this UE shall release the current value.</w:t>
      </w:r>
    </w:p>
    <w:p>
      <w:pPr>
        <w:rPr>
          <w:rFonts w:hint="eastAsia"/>
          <w:b/>
          <w:bCs/>
        </w:rPr>
      </w:pPr>
      <w:r>
        <w:rPr>
          <w:rFonts w:hint="eastAsia"/>
          <w:b/>
          <w:bCs/>
        </w:rPr>
        <w:t xml:space="preserve">Proposal 1: Either MN or SN may report to its peer node whether it enables RRC segmentation for QoE report in QoE coordination procedure in NRDC scenario. </w:t>
      </w:r>
    </w:p>
    <w:p>
      <w:pPr>
        <w:rPr>
          <w:rFonts w:hint="eastAsia"/>
          <w:b/>
          <w:bCs/>
        </w:rPr>
      </w:pPr>
      <w:r>
        <w:rPr>
          <w:rFonts w:hint="eastAsia"/>
          <w:b/>
          <w:bCs/>
        </w:rPr>
        <w:t>Proposal 2: Introduce RRC Segmentation Allowed IE with code points enabled and disabled in QMC Coordination Request and QMC Coordination Response.</w:t>
      </w:r>
    </w:p>
    <w:p>
      <w:pPr>
        <w:rPr>
          <w:rFonts w:hint="default"/>
          <w:b/>
          <w:bCs/>
          <w:lang w:val="en-US"/>
        </w:rPr>
      </w:pPr>
      <w:r>
        <w:rPr>
          <w:rFonts w:hint="eastAsia"/>
          <w:b/>
          <w:bCs/>
        </w:rPr>
        <w:t xml:space="preserve">Proposal 3: Capture the modification on RRC segmentation in NRDC by using CRs </w:t>
      </w:r>
      <w:r>
        <w:rPr>
          <w:rFonts w:hint="eastAsia" w:eastAsia="等线" w:cs="Arial"/>
          <w:b/>
          <w:bCs/>
          <w:lang w:val="en-US" w:eastAsia="zh-CN"/>
        </w:rPr>
        <w:t>in other contributi</w:t>
      </w:r>
      <w:r>
        <w:rPr>
          <w:rFonts w:hint="eastAsia" w:eastAsia="等线" w:cs="Arial"/>
          <w:b/>
          <w:bCs/>
          <w:highlight w:val="none"/>
          <w:lang w:val="en-US" w:eastAsia="zh-CN"/>
        </w:rPr>
        <w:t>ons.</w:t>
      </w:r>
      <w:bookmarkStart w:id="6" w:name="_GoBack"/>
      <w:bookmarkEnd w:id="6"/>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A54E0C"/>
    <w:multiLevelType w:val="multilevel"/>
    <w:tmpl w:val="CCA54E0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D67426AD"/>
    <w:multiLevelType w:val="multilevel"/>
    <w:tmpl w:val="D67426AD"/>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0DA5"/>
    <w:rsid w:val="00033397"/>
    <w:rsid w:val="000342C7"/>
    <w:rsid w:val="00040095"/>
    <w:rsid w:val="0005563E"/>
    <w:rsid w:val="00057C47"/>
    <w:rsid w:val="00080512"/>
    <w:rsid w:val="00083F0D"/>
    <w:rsid w:val="000A04EB"/>
    <w:rsid w:val="000B7BCF"/>
    <w:rsid w:val="000C556D"/>
    <w:rsid w:val="000D376D"/>
    <w:rsid w:val="000D58AB"/>
    <w:rsid w:val="001075B7"/>
    <w:rsid w:val="00134383"/>
    <w:rsid w:val="001370F2"/>
    <w:rsid w:val="001549DD"/>
    <w:rsid w:val="001550D6"/>
    <w:rsid w:val="0017573D"/>
    <w:rsid w:val="00194CD0"/>
    <w:rsid w:val="001B08B3"/>
    <w:rsid w:val="001C2B89"/>
    <w:rsid w:val="001C4281"/>
    <w:rsid w:val="001D0D3F"/>
    <w:rsid w:val="001D6395"/>
    <w:rsid w:val="001E39D1"/>
    <w:rsid w:val="001F168B"/>
    <w:rsid w:val="001F70B7"/>
    <w:rsid w:val="00225F6D"/>
    <w:rsid w:val="0022606D"/>
    <w:rsid w:val="002305DD"/>
    <w:rsid w:val="00242C2A"/>
    <w:rsid w:val="00243BC7"/>
    <w:rsid w:val="00255DDE"/>
    <w:rsid w:val="002623FC"/>
    <w:rsid w:val="00272BB0"/>
    <w:rsid w:val="002747EC"/>
    <w:rsid w:val="002855BF"/>
    <w:rsid w:val="002953B2"/>
    <w:rsid w:val="002A2395"/>
    <w:rsid w:val="002B0B54"/>
    <w:rsid w:val="002E1692"/>
    <w:rsid w:val="002F022C"/>
    <w:rsid w:val="002F0D22"/>
    <w:rsid w:val="003172DC"/>
    <w:rsid w:val="00323988"/>
    <w:rsid w:val="00326069"/>
    <w:rsid w:val="003454FC"/>
    <w:rsid w:val="00351964"/>
    <w:rsid w:val="0035462D"/>
    <w:rsid w:val="00363177"/>
    <w:rsid w:val="003702F7"/>
    <w:rsid w:val="003B3FB3"/>
    <w:rsid w:val="003C4E37"/>
    <w:rsid w:val="003D4ABB"/>
    <w:rsid w:val="003E1194"/>
    <w:rsid w:val="003E16BE"/>
    <w:rsid w:val="003E7223"/>
    <w:rsid w:val="00401855"/>
    <w:rsid w:val="00402420"/>
    <w:rsid w:val="00464695"/>
    <w:rsid w:val="00477783"/>
    <w:rsid w:val="00494F7A"/>
    <w:rsid w:val="004A7E24"/>
    <w:rsid w:val="004C5539"/>
    <w:rsid w:val="004D3578"/>
    <w:rsid w:val="004D380D"/>
    <w:rsid w:val="004D3F58"/>
    <w:rsid w:val="004D5E47"/>
    <w:rsid w:val="004E213A"/>
    <w:rsid w:val="004E21FC"/>
    <w:rsid w:val="00503171"/>
    <w:rsid w:val="00507AA1"/>
    <w:rsid w:val="005153FE"/>
    <w:rsid w:val="005240A4"/>
    <w:rsid w:val="00531C12"/>
    <w:rsid w:val="00534DA0"/>
    <w:rsid w:val="00540B31"/>
    <w:rsid w:val="00543E6C"/>
    <w:rsid w:val="00544635"/>
    <w:rsid w:val="00565087"/>
    <w:rsid w:val="0056573F"/>
    <w:rsid w:val="00565BE9"/>
    <w:rsid w:val="005711C8"/>
    <w:rsid w:val="00571CE2"/>
    <w:rsid w:val="005A27D5"/>
    <w:rsid w:val="005A4971"/>
    <w:rsid w:val="005B1232"/>
    <w:rsid w:val="005B2EEF"/>
    <w:rsid w:val="005D4274"/>
    <w:rsid w:val="00605E3E"/>
    <w:rsid w:val="00606DA9"/>
    <w:rsid w:val="00611566"/>
    <w:rsid w:val="00611D47"/>
    <w:rsid w:val="00656E1E"/>
    <w:rsid w:val="006604E4"/>
    <w:rsid w:val="006846D1"/>
    <w:rsid w:val="006A3863"/>
    <w:rsid w:val="006B36A5"/>
    <w:rsid w:val="006C54B5"/>
    <w:rsid w:val="006D1E24"/>
    <w:rsid w:val="007029B8"/>
    <w:rsid w:val="00702BDF"/>
    <w:rsid w:val="007067B2"/>
    <w:rsid w:val="007318F1"/>
    <w:rsid w:val="00734A5B"/>
    <w:rsid w:val="00741EC5"/>
    <w:rsid w:val="00743525"/>
    <w:rsid w:val="00744E76"/>
    <w:rsid w:val="007476DB"/>
    <w:rsid w:val="0075565E"/>
    <w:rsid w:val="00757D40"/>
    <w:rsid w:val="00765A81"/>
    <w:rsid w:val="00774846"/>
    <w:rsid w:val="00781F0F"/>
    <w:rsid w:val="00782170"/>
    <w:rsid w:val="0078727C"/>
    <w:rsid w:val="00797D4B"/>
    <w:rsid w:val="007C095F"/>
    <w:rsid w:val="007D5902"/>
    <w:rsid w:val="007F2676"/>
    <w:rsid w:val="00802106"/>
    <w:rsid w:val="008028A4"/>
    <w:rsid w:val="00806520"/>
    <w:rsid w:val="00830106"/>
    <w:rsid w:val="00840916"/>
    <w:rsid w:val="00853EDD"/>
    <w:rsid w:val="008604EE"/>
    <w:rsid w:val="0087401D"/>
    <w:rsid w:val="008768CA"/>
    <w:rsid w:val="00880559"/>
    <w:rsid w:val="008C2835"/>
    <w:rsid w:val="008C490B"/>
    <w:rsid w:val="008C67FB"/>
    <w:rsid w:val="0090271F"/>
    <w:rsid w:val="00903D8C"/>
    <w:rsid w:val="009074CE"/>
    <w:rsid w:val="00942EC2"/>
    <w:rsid w:val="00954BCB"/>
    <w:rsid w:val="00961B32"/>
    <w:rsid w:val="00971683"/>
    <w:rsid w:val="00972FD7"/>
    <w:rsid w:val="00974BB0"/>
    <w:rsid w:val="009A21A3"/>
    <w:rsid w:val="009A6E4F"/>
    <w:rsid w:val="009C4529"/>
    <w:rsid w:val="009C4D5C"/>
    <w:rsid w:val="009D0A28"/>
    <w:rsid w:val="009E618D"/>
    <w:rsid w:val="009F3B54"/>
    <w:rsid w:val="009F7E6E"/>
    <w:rsid w:val="00A10F02"/>
    <w:rsid w:val="00A138BB"/>
    <w:rsid w:val="00A46EA9"/>
    <w:rsid w:val="00A53724"/>
    <w:rsid w:val="00A814E6"/>
    <w:rsid w:val="00A82346"/>
    <w:rsid w:val="00A8361A"/>
    <w:rsid w:val="00A9671C"/>
    <w:rsid w:val="00AB6AAB"/>
    <w:rsid w:val="00AB7FBF"/>
    <w:rsid w:val="00AD4BCF"/>
    <w:rsid w:val="00AE229C"/>
    <w:rsid w:val="00AF4A8E"/>
    <w:rsid w:val="00AF78D5"/>
    <w:rsid w:val="00B0327B"/>
    <w:rsid w:val="00B1063A"/>
    <w:rsid w:val="00B15449"/>
    <w:rsid w:val="00B21241"/>
    <w:rsid w:val="00B746AA"/>
    <w:rsid w:val="00B9781E"/>
    <w:rsid w:val="00BA6CBB"/>
    <w:rsid w:val="00BB65FC"/>
    <w:rsid w:val="00BF79F1"/>
    <w:rsid w:val="00C03035"/>
    <w:rsid w:val="00C275BC"/>
    <w:rsid w:val="00C33079"/>
    <w:rsid w:val="00C365F1"/>
    <w:rsid w:val="00C43B31"/>
    <w:rsid w:val="00C50536"/>
    <w:rsid w:val="00C50FF2"/>
    <w:rsid w:val="00C55EB7"/>
    <w:rsid w:val="00C84ED9"/>
    <w:rsid w:val="00CA3D0C"/>
    <w:rsid w:val="00CB6651"/>
    <w:rsid w:val="00CB6887"/>
    <w:rsid w:val="00CD4C7B"/>
    <w:rsid w:val="00D22038"/>
    <w:rsid w:val="00D454EC"/>
    <w:rsid w:val="00D45717"/>
    <w:rsid w:val="00D5437E"/>
    <w:rsid w:val="00D738D6"/>
    <w:rsid w:val="00D80795"/>
    <w:rsid w:val="00D87E00"/>
    <w:rsid w:val="00D908B4"/>
    <w:rsid w:val="00D9134D"/>
    <w:rsid w:val="00D92DA7"/>
    <w:rsid w:val="00D97CD9"/>
    <w:rsid w:val="00DA58E4"/>
    <w:rsid w:val="00DA7A03"/>
    <w:rsid w:val="00DB1818"/>
    <w:rsid w:val="00DC309B"/>
    <w:rsid w:val="00DC4DA2"/>
    <w:rsid w:val="00DD12BE"/>
    <w:rsid w:val="00DE1406"/>
    <w:rsid w:val="00DF1B6A"/>
    <w:rsid w:val="00E07838"/>
    <w:rsid w:val="00E26B57"/>
    <w:rsid w:val="00E30B21"/>
    <w:rsid w:val="00E340BC"/>
    <w:rsid w:val="00E51F8B"/>
    <w:rsid w:val="00E619F5"/>
    <w:rsid w:val="00E62835"/>
    <w:rsid w:val="00E77151"/>
    <w:rsid w:val="00E77645"/>
    <w:rsid w:val="00E852FF"/>
    <w:rsid w:val="00E860B0"/>
    <w:rsid w:val="00E90ABE"/>
    <w:rsid w:val="00EA1D56"/>
    <w:rsid w:val="00EA22F8"/>
    <w:rsid w:val="00EC4A25"/>
    <w:rsid w:val="00ED096C"/>
    <w:rsid w:val="00EE0A1E"/>
    <w:rsid w:val="00F025A2"/>
    <w:rsid w:val="00F2026E"/>
    <w:rsid w:val="00F2210A"/>
    <w:rsid w:val="00F37743"/>
    <w:rsid w:val="00F40093"/>
    <w:rsid w:val="00F522A8"/>
    <w:rsid w:val="00F54A3D"/>
    <w:rsid w:val="00F627BF"/>
    <w:rsid w:val="00F653B8"/>
    <w:rsid w:val="00F66AE3"/>
    <w:rsid w:val="00F76F8F"/>
    <w:rsid w:val="00F806FB"/>
    <w:rsid w:val="00F96EC9"/>
    <w:rsid w:val="00F97D2B"/>
    <w:rsid w:val="00FA1266"/>
    <w:rsid w:val="00FB2BEA"/>
    <w:rsid w:val="00FC1192"/>
    <w:rsid w:val="00FC53BF"/>
    <w:rsid w:val="00FC6713"/>
    <w:rsid w:val="00FF3137"/>
    <w:rsid w:val="00FF4BAA"/>
    <w:rsid w:val="00FF7BCD"/>
    <w:rsid w:val="03091BF2"/>
    <w:rsid w:val="07034C45"/>
    <w:rsid w:val="07CC79F2"/>
    <w:rsid w:val="09397010"/>
    <w:rsid w:val="0D8C541B"/>
    <w:rsid w:val="0DAF3ACF"/>
    <w:rsid w:val="0DC316D0"/>
    <w:rsid w:val="0E656F27"/>
    <w:rsid w:val="0F307FAD"/>
    <w:rsid w:val="12E91E68"/>
    <w:rsid w:val="139F1CEA"/>
    <w:rsid w:val="1A51750D"/>
    <w:rsid w:val="1B9C02C7"/>
    <w:rsid w:val="1E246295"/>
    <w:rsid w:val="215B2EF0"/>
    <w:rsid w:val="23F462A1"/>
    <w:rsid w:val="247D1348"/>
    <w:rsid w:val="25BA73E5"/>
    <w:rsid w:val="26D2162F"/>
    <w:rsid w:val="27A01A16"/>
    <w:rsid w:val="2BAE1887"/>
    <w:rsid w:val="2CAC0E1D"/>
    <w:rsid w:val="31C61EBF"/>
    <w:rsid w:val="32563FC7"/>
    <w:rsid w:val="33944C63"/>
    <w:rsid w:val="3B4E6FE4"/>
    <w:rsid w:val="3BC02DF3"/>
    <w:rsid w:val="3C0C7F43"/>
    <w:rsid w:val="3EB841ED"/>
    <w:rsid w:val="40892979"/>
    <w:rsid w:val="40C41E3D"/>
    <w:rsid w:val="40FB16B2"/>
    <w:rsid w:val="4101639A"/>
    <w:rsid w:val="417E29B7"/>
    <w:rsid w:val="41F066B1"/>
    <w:rsid w:val="421A562D"/>
    <w:rsid w:val="44AD3C00"/>
    <w:rsid w:val="456C4819"/>
    <w:rsid w:val="470A542B"/>
    <w:rsid w:val="49633943"/>
    <w:rsid w:val="49D973E6"/>
    <w:rsid w:val="4C09568D"/>
    <w:rsid w:val="4C4D6A6B"/>
    <w:rsid w:val="4DB41754"/>
    <w:rsid w:val="4FFA5FAC"/>
    <w:rsid w:val="5016358F"/>
    <w:rsid w:val="50466C5B"/>
    <w:rsid w:val="51FF5FBE"/>
    <w:rsid w:val="522620FD"/>
    <w:rsid w:val="53E54DAB"/>
    <w:rsid w:val="53E91011"/>
    <w:rsid w:val="55060D77"/>
    <w:rsid w:val="55116704"/>
    <w:rsid w:val="55FC6EF7"/>
    <w:rsid w:val="570B45FB"/>
    <w:rsid w:val="57E57695"/>
    <w:rsid w:val="59307961"/>
    <w:rsid w:val="5A1215EE"/>
    <w:rsid w:val="5B4C6F3B"/>
    <w:rsid w:val="604F6A20"/>
    <w:rsid w:val="60F02B8B"/>
    <w:rsid w:val="63D924D7"/>
    <w:rsid w:val="656F7BFF"/>
    <w:rsid w:val="66CB4255"/>
    <w:rsid w:val="67266CAE"/>
    <w:rsid w:val="68261377"/>
    <w:rsid w:val="684337A8"/>
    <w:rsid w:val="6AD87037"/>
    <w:rsid w:val="6B421682"/>
    <w:rsid w:val="6BB7036E"/>
    <w:rsid w:val="7053603E"/>
    <w:rsid w:val="70701C64"/>
    <w:rsid w:val="731F132F"/>
    <w:rsid w:val="75174AFA"/>
    <w:rsid w:val="75467D0A"/>
    <w:rsid w:val="75EE6DAC"/>
    <w:rsid w:val="762631E5"/>
    <w:rsid w:val="7745625F"/>
    <w:rsid w:val="77AA74A6"/>
    <w:rsid w:val="7D393049"/>
    <w:rsid w:val="7DD975ED"/>
    <w:rsid w:val="7E7925B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caption"/>
    <w:basedOn w:val="1"/>
    <w:next w:val="1"/>
    <w:unhideWhenUsed/>
    <w:qFormat/>
    <w:uiPriority w:val="0"/>
    <w:pPr>
      <w:spacing w:after="200"/>
    </w:pPr>
    <w:rPr>
      <w:iCs/>
      <w:szCs w:val="18"/>
    </w:rPr>
  </w:style>
  <w:style w:type="paragraph" w:styleId="23">
    <w:name w:val="Document Map"/>
    <w:basedOn w:val="1"/>
    <w:link w:val="72"/>
    <w:qFormat/>
    <w:uiPriority w:val="0"/>
    <w:rPr>
      <w:rFonts w:ascii="Tahoma" w:hAnsi="Tahoma" w:cs="Tahoma"/>
      <w:sz w:val="16"/>
      <w:szCs w:val="16"/>
    </w:rPr>
  </w:style>
  <w:style w:type="paragraph" w:styleId="24">
    <w:name w:val="toc 8"/>
    <w:basedOn w:val="21"/>
    <w:next w:val="1"/>
    <w:semiHidden/>
    <w:qFormat/>
    <w:uiPriority w:val="0"/>
    <w:pPr>
      <w:spacing w:before="180"/>
      <w:ind w:left="2693" w:hanging="2693"/>
    </w:pPr>
    <w:rPr>
      <w:b/>
    </w:rPr>
  </w:style>
  <w:style w:type="paragraph" w:styleId="25">
    <w:name w:val="footer"/>
    <w:basedOn w:val="26"/>
    <w:qFormat/>
    <w:uiPriority w:val="0"/>
    <w:pPr>
      <w:jc w:val="center"/>
    </w:pPr>
    <w:rPr>
      <w:i/>
    </w:rPr>
  </w:style>
  <w:style w:type="paragraph" w:styleId="26">
    <w:name w:val="header"/>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7">
    <w:name w:val="List 5"/>
    <w:basedOn w:val="28"/>
    <w:qFormat/>
    <w:uiPriority w:val="0"/>
    <w:pPr>
      <w:ind w:left="1702"/>
    </w:pPr>
  </w:style>
  <w:style w:type="paragraph" w:styleId="28">
    <w:name w:val="List 4"/>
    <w:basedOn w:val="12"/>
    <w:qFormat/>
    <w:uiPriority w:val="0"/>
    <w:pPr>
      <w:ind w:left="1418"/>
    </w:pPr>
  </w:style>
  <w:style w:type="paragraph" w:styleId="29">
    <w:name w:val="toc 9"/>
    <w:basedOn w:val="24"/>
    <w:next w:val="1"/>
    <w:semiHidden/>
    <w:qFormat/>
    <w:uiPriority w:val="0"/>
    <w:pPr>
      <w:ind w:left="1418" w:hanging="1418"/>
    </w:pPr>
  </w:style>
  <w:style w:type="paragraph" w:styleId="3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33">
    <w:name w:val="Hyperlink"/>
    <w:qFormat/>
    <w:uiPriority w:val="0"/>
    <w:rPr>
      <w:color w:val="0000FF"/>
      <w:u w:val="single"/>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14"/>
    <w:qFormat/>
    <w:uiPriority w:val="0"/>
    <w:pPr>
      <w:ind w:left="568" w:hanging="284"/>
    </w:pPr>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1">
    <w:name w:val="B2"/>
    <w:basedOn w:val="13"/>
    <w:qFormat/>
    <w:uiPriority w:val="0"/>
    <w:pPr>
      <w:ind w:left="851" w:hanging="284"/>
    </w:pPr>
  </w:style>
  <w:style w:type="paragraph" w:customStyle="1" w:styleId="62">
    <w:name w:val="B3"/>
    <w:basedOn w:val="12"/>
    <w:qFormat/>
    <w:uiPriority w:val="0"/>
    <w:pPr>
      <w:ind w:left="1135" w:hanging="284"/>
    </w:pPr>
  </w:style>
  <w:style w:type="paragraph" w:customStyle="1" w:styleId="63">
    <w:name w:val="B4"/>
    <w:basedOn w:val="28"/>
    <w:qFormat/>
    <w:uiPriority w:val="0"/>
    <w:pPr>
      <w:ind w:left="1418" w:hanging="284"/>
    </w:pPr>
  </w:style>
  <w:style w:type="paragraph" w:customStyle="1" w:styleId="64">
    <w:name w:val="B5"/>
    <w:basedOn w:val="27"/>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Header Char"/>
    <w:link w:val="26"/>
    <w:qFormat/>
    <w:uiPriority w:val="0"/>
    <w:rPr>
      <w:rFonts w:ascii="Arial" w:hAnsi="Arial"/>
      <w:b/>
      <w:sz w:val="18"/>
      <w:lang w:val="en-GB" w:eastAsia="ja-JP" w:bidi="ar-SA"/>
    </w:rPr>
  </w:style>
  <w:style w:type="paragraph" w:customStyle="1" w:styleId="70">
    <w:name w:val="CR Cover Page"/>
    <w:qFormat/>
    <w:uiPriority w:val="0"/>
    <w:pPr>
      <w:spacing w:after="120"/>
    </w:pPr>
    <w:rPr>
      <w:rFonts w:ascii="Arial" w:hAnsi="Arial" w:eastAsia="MS Mincho" w:cs="Times New Roman"/>
      <w:lang w:val="en-GB" w:eastAsia="en-US" w:bidi="ar-SA"/>
    </w:rPr>
  </w:style>
  <w:style w:type="paragraph" w:customStyle="1" w:styleId="71">
    <w:name w:val="00 BodyText"/>
    <w:basedOn w:val="1"/>
    <w:qFormat/>
    <w:uiPriority w:val="0"/>
    <w:pPr>
      <w:spacing w:after="220"/>
    </w:pPr>
    <w:rPr>
      <w:rFonts w:ascii="Arial" w:hAnsi="Arial"/>
      <w:sz w:val="22"/>
      <w:lang w:val="en-US"/>
    </w:rPr>
  </w:style>
  <w:style w:type="character" w:customStyle="1" w:styleId="72">
    <w:name w:val="Document Map Char"/>
    <w:link w:val="23"/>
    <w:qFormat/>
    <w:uiPriority w:val="0"/>
    <w:rPr>
      <w:rFonts w:ascii="Tahoma" w:hAnsi="Tahoma" w:cs="Tahoma"/>
      <w:sz w:val="16"/>
      <w:szCs w:val="16"/>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TDoc.dot</Template>
  <Company>Nokia Siemens Networks</Company>
  <Pages>2</Pages>
  <Words>680</Words>
  <Characters>3882</Characters>
  <Lines>32</Lines>
  <Paragraphs>9</Paragraphs>
  <TotalTime>0</TotalTime>
  <ScaleCrop>false</ScaleCrop>
  <LinksUpToDate>false</LinksUpToDate>
  <CharactersWithSpaces>4553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2019-06-29T13:33:00Z</dcterms:created>
  <dc:creator>Benoist Sébire</dc:creator>
  <cp:keywords>&lt;keyword[, keyword, ]&gt;</cp:keywords>
  <cp:lastModifiedBy>ZTE</cp:lastModifiedBy>
  <dcterms:modified xsi:type="dcterms:W3CDTF">2024-11-08T06:00:07Z</dcterms:modified>
  <dc:subject>&lt;Title 1; Title 2&gt; (Release 13 |12 |11 | 10 | 9 | 8 | 7 | 6 | 5 | 4)</dc:subject>
  <dc:title>3GPP TS ab.cde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